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mallCaps w:val="1"/>
          <w:sz w:val="24"/>
          <w:szCs w:val="24"/>
        </w:rPr>
        <w:sectPr>
          <w:headerReference r:id="rId7" w:type="default"/>
          <w:headerReference r:id="rId8" w:type="first"/>
          <w:footerReference r:id="rId9" w:type="default"/>
          <w:footerReference r:id="rId10" w:type="first"/>
          <w:pgSz w:h="16838" w:w="11906" w:orient="portrait"/>
          <w:pgMar w:bottom="1440" w:top="1440" w:left="1440" w:right="1440" w:header="720" w:footer="720"/>
          <w:pgNumType w:start="1"/>
        </w:sectPr>
      </w:pPr>
      <w:r w:rsidDel="00000000" w:rsidR="00000000" w:rsidRPr="00000000">
        <w:rPr>
          <w:rFonts w:ascii="Arial" w:cs="Arial" w:eastAsia="Arial" w:hAnsi="Arial"/>
          <w:b w:val="1"/>
          <w:sz w:val="24"/>
          <w:szCs w:val="24"/>
          <w:u w:val="single"/>
        </w:rPr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885825</wp:posOffset>
                </wp:positionH>
                <wp:positionV relativeFrom="margin">
                  <wp:posOffset>333375</wp:posOffset>
                </wp:positionV>
                <wp:extent cx="6286500" cy="8320405"/>
                <wp:effectExtent b="0" l="0" r="0" t="0"/>
                <wp:wrapNone/>
                <wp:docPr id="1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202750" y="0"/>
                          <a:ext cx="6286500" cy="8320405"/>
                          <a:chOff x="2202750" y="0"/>
                          <a:chExt cx="6286525" cy="7560000"/>
                        </a:xfrm>
                      </wpg:grpSpPr>
                      <wpg:grpSp>
                        <wpg:cNvGrpSpPr/>
                        <wpg:grpSpPr>
                          <a:xfrm>
                            <a:off x="2202750" y="0"/>
                            <a:ext cx="6286500" cy="7560000"/>
                            <a:chOff x="2202750" y="0"/>
                            <a:chExt cx="6286500" cy="756000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2202750" y="0"/>
                              <a:ext cx="6286500" cy="756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g:grpSp>
                          <wpg:cNvGrpSpPr/>
                          <wpg:grpSpPr>
                            <a:xfrm>
                              <a:off x="2202750" y="0"/>
                              <a:ext cx="6286500" cy="7560000"/>
                              <a:chOff x="2202750" y="0"/>
                              <a:chExt cx="6286500" cy="7560000"/>
                            </a:xfrm>
                          </wpg:grpSpPr>
                          <wps:wsp>
                            <wps:cNvSpPr/>
                            <wps:cNvPr id="5" name="Shape 5"/>
                            <wps:spPr>
                              <a:xfrm>
                                <a:off x="2202750" y="0"/>
                                <a:ext cx="6286500" cy="756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  <wpg:grpSp>
                            <wpg:cNvGrpSpPr/>
                            <wpg:grpSpPr>
                              <a:xfrm>
                                <a:off x="2202750" y="0"/>
                                <a:ext cx="6286500" cy="7560000"/>
                                <a:chOff x="2202750" y="0"/>
                                <a:chExt cx="6286500" cy="7560000"/>
                              </a:xfrm>
                            </wpg:grpSpPr>
                            <wps:wsp>
                              <wps:cNvSpPr/>
                              <wps:cNvPr id="7" name="Shape 7"/>
                              <wps:spPr>
                                <a:xfrm>
                                  <a:off x="2202750" y="0"/>
                                  <a:ext cx="6286500" cy="756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00000" w:rsidDel="00000000" w:rsidP="00000000" w:rsidRDefault="00000000" w:rsidRPr="00000000">
                                    <w:pPr>
                                      <w:spacing w:after="0" w:before="0" w:line="240"/>
                                      <w:ind w:left="0" w:right="0" w:firstLine="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anchorCtr="0" anchor="ctr" bIns="91425" lIns="91425" spcFirstLastPara="1" rIns="91425" wrap="square" tIns="91425">
                                <a:noAutofit/>
                              </wps:bodyPr>
                            </wps:wsp>
                            <wpg:grpSp>
                              <wpg:cNvGrpSpPr/>
                              <wpg:grpSpPr>
                                <a:xfrm>
                                  <a:off x="2202750" y="0"/>
                                  <a:ext cx="6286500" cy="7560000"/>
                                  <a:chOff x="2202750" y="0"/>
                                  <a:chExt cx="6286500" cy="7560000"/>
                                </a:xfrm>
                              </wpg:grpSpPr>
                              <wps:wsp>
                                <wps:cNvSpPr/>
                                <wps:cNvPr id="9" name="Shape 9"/>
                                <wps:spPr>
                                  <a:xfrm>
                                    <a:off x="2202750" y="0"/>
                                    <a:ext cx="6286500" cy="75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g:grpSp>
                                <wpg:cNvGrpSpPr/>
                                <wpg:grpSpPr>
                                  <a:xfrm>
                                    <a:off x="2202750" y="0"/>
                                    <a:ext cx="6286500" cy="7560000"/>
                                    <a:chOff x="-133357" y="-2276513"/>
                                    <a:chExt cx="6286835" cy="8320544"/>
                                  </a:xfrm>
                                </wpg:grpSpPr>
                                <wps:wsp>
                                  <wps:cNvSpPr/>
                                  <wps:cNvPr id="11" name="Shape 11"/>
                                  <wps:spPr>
                                    <a:xfrm>
                                      <a:off x="-133357" y="-2276513"/>
                                      <a:ext cx="6286825" cy="832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40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SpPr/>
                                  <wps:cNvPr id="12" name="Shape 12"/>
                                  <wps:spPr>
                                    <a:xfrm>
                                      <a:off x="2980383" y="5629376"/>
                                      <a:ext cx="3173095" cy="4146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200" w:before="0" w:line="275.00000953674316"/>
                                          <w:ind w:left="0" w:right="0" w:firstLine="0"/>
                                          <w:jc w:val="righ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anchorCtr="0" anchor="t" bIns="45700" lIns="91425" spcFirstLastPara="1" rIns="91425" wrap="square" tIns="45700">
                                    <a:noAutofit/>
                                  </wps:bodyPr>
                                </wps:wsp>
                                <wps:wsp>
                                  <wps:cNvSpPr/>
                                  <wps:cNvPr id="13" name="Shape 13"/>
                                  <wps:spPr>
                                    <a:xfrm>
                                      <a:off x="-133357" y="-2276513"/>
                                      <a:ext cx="5485128" cy="46151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8"/>
                                            <w:vertAlign w:val="baseline"/>
                                          </w:rPr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8"/>
                                            <w:vertAlign w:val="baseline"/>
                                          </w:rPr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8"/>
                                            <w:vertAlign w:val="baseline"/>
                                          </w:rPr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8"/>
                                            <w:vertAlign w:val="baseline"/>
                                          </w:rPr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Arial" w:cs="Arial" w:eastAsia="Arial" w:hAnsi="Arial"/>
                                            <w:b w:val="0"/>
                                            <w:i w:val="0"/>
                                            <w:smallCaps w:val="0"/>
                                            <w:strike w:val="0"/>
                                            <w:color w:val="000000"/>
                                            <w:sz w:val="28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Calibri" w:cs="Calibri" w:eastAsia="Calibri" w:hAnsi="Calibri"/>
                                            <w:b w:val="1"/>
                                            <w:i w:val="0"/>
                                            <w:smallCaps w:val="0"/>
                                            <w:strike w:val="0"/>
                                            <w:color w:val="1f497d"/>
                                            <w:sz w:val="72"/>
                                            <w:vertAlign w:val="baseline"/>
                                          </w:rPr>
                                          <w:t xml:space="preserve">Framework 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Calibri" w:cs="Calibri" w:eastAsia="Calibri" w:hAnsi="Calibri"/>
                                            <w:b w:val="1"/>
                                            <w:i w:val="0"/>
                                            <w:smallCaps w:val="0"/>
                                            <w:strike w:val="0"/>
                                            <w:color w:val="1f497d"/>
                                            <w:sz w:val="72"/>
                                            <w:vertAlign w:val="baseline"/>
                                          </w:rPr>
                                        </w:r>
                                        <w:r w:rsidDel="00000000" w:rsidR="00000000" w:rsidRPr="00000000">
                                          <w:rPr>
                                            <w:rFonts w:ascii="Calibri" w:cs="Calibri" w:eastAsia="Calibri" w:hAnsi="Calibri"/>
                                            <w:b w:val="1"/>
                                            <w:i w:val="0"/>
                                            <w:smallCaps w:val="0"/>
                                            <w:strike w:val="0"/>
                                            <w:color w:val="1f497d"/>
                                            <w:sz w:val="72"/>
                                            <w:vertAlign w:val="baseline"/>
                                          </w:rPr>
                                          <w:t xml:space="preserve">Award Form</w:t>
                                        </w:r>
                                      </w:p>
                                      <w:p w:rsidR="00000000" w:rsidDel="00000000" w:rsidP="00000000" w:rsidRDefault="00000000" w:rsidRPr="00000000">
                                        <w:pPr>
                                          <w:spacing w:after="200" w:before="0" w:line="275.00000953674316"/>
                                          <w:ind w:left="0" w:right="0" w:firstLine="0"/>
                                          <w:jc w:val="left"/>
                                          <w:textDirection w:val="btLr"/>
                                        </w:pPr>
                                        <w:r w:rsidDel="00000000" w:rsidR="00000000" w:rsidRPr="00000000">
                                          <w:rPr>
                                            <w:rFonts w:ascii="Calibri" w:cs="Calibri" w:eastAsia="Calibri" w:hAnsi="Calibri"/>
                                            <w:b w:val="1"/>
                                            <w:i w:val="0"/>
                                            <w:smallCaps w:val="0"/>
                                            <w:strike w:val="0"/>
                                            <w:color w:val="1f497d"/>
                                            <w:sz w:val="72"/>
                                            <w:vertAlign w:val="baseline"/>
                                          </w:rPr>
                                        </w:r>
                                      </w:p>
                                    </w:txbxContent>
                                  </wps:txbx>
                                  <wps:bodyPr anchorCtr="0" anchor="b" bIns="45700" lIns="91425" spcFirstLastPara="1" rIns="91425" wrap="square" tIns="4570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885825</wp:posOffset>
                </wp:positionH>
                <wp:positionV relativeFrom="margin">
                  <wp:posOffset>333375</wp:posOffset>
                </wp:positionV>
                <wp:extent cx="6286500" cy="8320405"/>
                <wp:effectExtent b="0" l="0" r="0" t="0"/>
                <wp:wrapNone/>
                <wp:docPr id="13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286500" cy="83204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96525</wp:posOffset>
            </wp:positionH>
            <wp:positionV relativeFrom="paragraph">
              <wp:posOffset>1698625</wp:posOffset>
            </wp:positionV>
            <wp:extent cx="1647190" cy="1371600"/>
            <wp:effectExtent b="0" l="0" r="0" t="0"/>
            <wp:wrapNone/>
            <wp:docPr descr="Crown Commercial Service" id="14" name="image1.png"/>
            <a:graphic>
              <a:graphicData uri="http://schemas.openxmlformats.org/drawingml/2006/picture">
                <pic:pic>
                  <pic:nvPicPr>
                    <pic:cNvPr descr="Crown Commercial Service" id="0" name="image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719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b w:val="1"/>
          <w:smallCap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This Framework Award Form creates the Framework Contract.  RM6257 Security – Physical, Technical and Support Services.  It summarises the main features of the procurement and includes CCS and the Supplier’s contact details.</w:t>
      </w:r>
    </w:p>
    <w:tbl>
      <w:tblPr>
        <w:tblStyle w:val="Table1"/>
        <w:tblW w:w="10531.0" w:type="dxa"/>
        <w:jc w:val="left"/>
        <w:tblInd w:w="-7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95b3d7" w:space="0" w:sz="4" w:val="single"/>
          <w:insideV w:color="95b3d7" w:space="0" w:sz="4" w:val="single"/>
        </w:tblBorders>
        <w:tblLayout w:type="fixed"/>
        <w:tblLook w:val="0000"/>
      </w:tblPr>
      <w:tblGrid>
        <w:gridCol w:w="436"/>
        <w:gridCol w:w="2025"/>
        <w:gridCol w:w="8070"/>
        <w:tblGridChange w:id="0">
          <w:tblGrid>
            <w:gridCol w:w="436"/>
            <w:gridCol w:w="2025"/>
            <w:gridCol w:w="8070"/>
          </w:tblGrid>
        </w:tblGridChange>
      </w:tblGrid>
      <w:tr>
        <w:trPr>
          <w:cantSplit w:val="0"/>
          <w:trHeight w:val="1072" w:hRule="atLeast"/>
          <w:tblHeader w:val="0"/>
        </w:trPr>
        <w:tc>
          <w:tcPr/>
          <w:p w:rsidR="00000000" w:rsidDel="00000000" w:rsidP="00000000" w:rsidRDefault="00000000" w:rsidRPr="00000000" w14:paraId="0000000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CCS </w:t>
            </w:r>
          </w:p>
        </w:tc>
        <w:tc>
          <w:tcPr/>
          <w:p w:rsidR="00000000" w:rsidDel="00000000" w:rsidP="00000000" w:rsidRDefault="00000000" w:rsidRPr="00000000" w14:paraId="00000006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Minister for the Cabinet Office represented by its executive agency the Crown Commercial Service (CCS). </w:t>
            </w:r>
          </w:p>
          <w:p w:rsidR="00000000" w:rsidDel="00000000" w:rsidP="00000000" w:rsidRDefault="00000000" w:rsidRPr="00000000" w14:paraId="00000007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Its offices are on: 9th Floor, The Capital, Old Hall Street, Liverpool L3 9PP.</w:t>
            </w:r>
          </w:p>
          <w:p w:rsidR="00000000" w:rsidDel="00000000" w:rsidP="00000000" w:rsidRDefault="00000000" w:rsidRPr="00000000" w14:paraId="00000009">
            <w:pPr>
              <w:spacing w:after="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76" w:hRule="atLeast"/>
          <w:tblHeader w:val="0"/>
        </w:trPr>
        <w:tc>
          <w:tcPr/>
          <w:p w:rsidR="00000000" w:rsidDel="00000000" w:rsidP="00000000" w:rsidRDefault="00000000" w:rsidRPr="00000000" w14:paraId="0000000A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</w:t>
            </w:r>
          </w:p>
        </w:tc>
        <w:tc>
          <w:tcPr/>
          <w:p w:rsidR="00000000" w:rsidDel="00000000" w:rsidP="00000000" w:rsidRDefault="00000000" w:rsidRPr="00000000" w14:paraId="0000000C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7287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  <w:insideH w:color="000000" w:space="0" w:sz="0" w:val="nil"/>
                <w:insideV w:color="000000" w:space="0" w:sz="0" w:val="nil"/>
              </w:tblBorders>
              <w:tblLayout w:type="fixed"/>
              <w:tblLook w:val="0400"/>
            </w:tblPr>
            <w:tblGrid>
              <w:gridCol w:w="2296"/>
              <w:gridCol w:w="4991"/>
              <w:tblGridChange w:id="0">
                <w:tblGrid>
                  <w:gridCol w:w="2296"/>
                  <w:gridCol w:w="4991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D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Name: </w:t>
                  </w:r>
                </w:p>
              </w:tc>
              <w:tc>
                <w:tcPr/>
                <w:p w:rsidR="00000000" w:rsidDel="00000000" w:rsidP="00000000" w:rsidRDefault="00000000" w:rsidRPr="00000000" w14:paraId="0000000E">
                  <w:pPr>
                    <w:spacing w:after="0" w:lineRule="auto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[Supplier Name]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0F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Address: </w:t>
                  </w:r>
                </w:p>
              </w:tc>
              <w:tc>
                <w:tcPr/>
                <w:p w:rsidR="00000000" w:rsidDel="00000000" w:rsidP="00000000" w:rsidRDefault="00000000" w:rsidRPr="00000000" w14:paraId="00000010">
                  <w:pPr>
                    <w:spacing w:after="0" w:lineRule="auto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[Supplier Address]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1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Registration number:    </w:t>
                  </w:r>
                </w:p>
              </w:tc>
              <w:tc>
                <w:tcPr/>
                <w:p w:rsidR="00000000" w:rsidDel="00000000" w:rsidP="00000000" w:rsidRDefault="00000000" w:rsidRPr="00000000" w14:paraId="00000012">
                  <w:pPr>
                    <w:keepNext w:val="0"/>
                    <w:keepLines w:val="0"/>
                    <w:pageBreakBefore w:val="0"/>
                    <w:widowControl w:val="1"/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0" w:right="0" w:firstLine="0"/>
                    <w:jc w:val="left"/>
                    <w:rPr>
                      <w:rFonts w:ascii="Arial" w:cs="Arial" w:eastAsia="Arial" w:hAnsi="Arial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[Supplier Registration]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3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SID4GOV ID:</w:t>
                  </w:r>
                </w:p>
              </w:tc>
              <w:tc>
                <w:tcPr/>
                <w:p w:rsidR="00000000" w:rsidDel="00000000" w:rsidP="00000000" w:rsidRDefault="00000000" w:rsidRPr="00000000" w14:paraId="00000014">
                  <w:pPr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rtl w:val="0"/>
                    </w:rPr>
                    <w:t xml:space="preserve">[Supplier SID4GOV ID]</w:t>
                  </w:r>
                </w:p>
                <w:p w:rsidR="00000000" w:rsidDel="00000000" w:rsidP="00000000" w:rsidRDefault="00000000" w:rsidRPr="00000000" w14:paraId="00000015">
                  <w:pPr>
                    <w:spacing w:after="0" w:lineRule="auto"/>
                    <w:rPr>
                      <w:rFonts w:ascii="Arial" w:cs="Arial" w:eastAsia="Arial" w:hAnsi="Arial"/>
                      <w:b w:val="1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16">
                  <w:pPr>
                    <w:spacing w:after="0" w:lineRule="auto"/>
                    <w:ind w:left="-75" w:firstLine="0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/>
                <w:p w:rsidR="00000000" w:rsidDel="00000000" w:rsidP="00000000" w:rsidRDefault="00000000" w:rsidRPr="00000000" w14:paraId="00000017">
                  <w:pPr>
                    <w:spacing w:after="0" w:lineRule="auto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highlight w:val="yellow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18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46" w:hRule="atLeast"/>
          <w:tblHeader w:val="0"/>
        </w:trPr>
        <w:tc>
          <w:tcPr/>
          <w:p w:rsidR="00000000" w:rsidDel="00000000" w:rsidP="00000000" w:rsidRDefault="00000000" w:rsidRPr="00000000" w14:paraId="0000001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Contract</w:t>
            </w:r>
          </w:p>
        </w:tc>
        <w:tc>
          <w:tcPr/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framework contract between CCS and the Supplier allows the Supplier to be considered for Call-off Contracts to supply the Deliverables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 </w:t>
            </w: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[Lot]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. You cannot deliver in any other Lot under this contract. Any references made to other Lots in this contract do not apply.] </w:t>
            </w:r>
          </w:p>
          <w:p w:rsidR="00000000" w:rsidDel="00000000" w:rsidP="00000000" w:rsidRDefault="00000000" w:rsidRPr="00000000" w14:paraId="000000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opportunity is advertised in the Contract Notice in the Find a Tender Service reference </w:t>
            </w:r>
            <w:r w:rsidDel="00000000" w:rsidR="00000000" w:rsidRPr="00000000">
              <w:rPr>
                <w:rFonts w:ascii="Roboto" w:cs="Roboto" w:eastAsia="Roboto" w:hAnsi="Roboto"/>
                <w:b w:val="1"/>
                <w:color w:val="000000"/>
                <w:sz w:val="20"/>
                <w:szCs w:val="20"/>
                <w:highlight w:val="white"/>
                <w:rtl w:val="0"/>
              </w:rPr>
              <w:t xml:space="preserve">2022/S 000-014331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(FTS Contract Notice).</w:t>
            </w:r>
          </w:p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7" w:hRule="atLeast"/>
          <w:tblHeader w:val="0"/>
        </w:trPr>
        <w:tc>
          <w:tcPr/>
          <w:p w:rsidR="00000000" w:rsidDel="00000000" w:rsidP="00000000" w:rsidRDefault="00000000" w:rsidRPr="00000000" w14:paraId="0000001E">
            <w:pPr>
              <w:keepNext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Deliverables </w:t>
            </w:r>
          </w:p>
        </w:tc>
        <w:tc>
          <w:tcPr/>
          <w:p w:rsidR="00000000" w:rsidDel="00000000" w:rsidP="00000000" w:rsidRDefault="00000000" w:rsidRPr="00000000" w14:paraId="000000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Framework Schedule 1 (Specification) for further details.</w:t>
            </w:r>
          </w:p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63" w:hRule="atLeast"/>
          <w:tblHeader w:val="0"/>
        </w:trPr>
        <w:tc>
          <w:tcPr/>
          <w:p w:rsidR="00000000" w:rsidDel="00000000" w:rsidP="00000000" w:rsidRDefault="00000000" w:rsidRPr="00000000" w14:paraId="00000022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</w:t>
            </w:r>
          </w:p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Start Date</w:t>
            </w:r>
          </w:p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6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01/11/2022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0" w:hRule="atLeast"/>
          <w:tblHeader w:val="0"/>
        </w:trPr>
        <w:tc>
          <w:tcPr/>
          <w:p w:rsidR="00000000" w:rsidDel="00000000" w:rsidP="00000000" w:rsidRDefault="00000000" w:rsidRPr="00000000" w14:paraId="0000002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Expiry Date</w:t>
            </w:r>
          </w:p>
          <w:p w:rsidR="00000000" w:rsidDel="00000000" w:rsidP="00000000" w:rsidRDefault="00000000" w:rsidRPr="00000000" w14:paraId="0000002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30/04/2026</w:t>
            </w:r>
          </w:p>
        </w:tc>
      </w:tr>
      <w:tr>
        <w:trPr>
          <w:cantSplit w:val="0"/>
          <w:trHeight w:val="471" w:hRule="atLeast"/>
          <w:tblHeader w:val="0"/>
        </w:trPr>
        <w:tc>
          <w:tcPr/>
          <w:p w:rsidR="00000000" w:rsidDel="00000000" w:rsidP="00000000" w:rsidRDefault="00000000" w:rsidRPr="00000000" w14:paraId="0000002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</w:t>
            </w:r>
          </w:p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Optional</w:t>
            </w:r>
          </w:p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Extension</w:t>
            </w:r>
          </w:p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Period</w:t>
            </w:r>
          </w:p>
        </w:tc>
        <w:tc>
          <w:tcPr/>
          <w:p w:rsidR="00000000" w:rsidDel="00000000" w:rsidP="00000000" w:rsidRDefault="00000000" w:rsidRPr="00000000" w14:paraId="00000030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 optional extension available.</w:t>
            </w:r>
          </w:p>
        </w:tc>
      </w:tr>
      <w:tr>
        <w:trPr>
          <w:cantSplit w:val="0"/>
          <w:trHeight w:val="837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Order</w:t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Procedure</w:t>
            </w:r>
          </w:p>
        </w:tc>
        <w:tc>
          <w:tcPr/>
          <w:p w:rsidR="00000000" w:rsidDel="00000000" w:rsidP="00000000" w:rsidRDefault="00000000" w:rsidRPr="00000000" w14:paraId="00000034">
            <w:pPr>
              <w:numPr>
                <w:ilvl w:val="0"/>
                <w:numId w:val="2"/>
              </w:numPr>
              <w:spacing w:after="0" w:lineRule="auto"/>
              <w:ind w:left="720" w:right="936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Direct Award</w:t>
            </w:r>
          </w:p>
          <w:p w:rsidR="00000000" w:rsidDel="00000000" w:rsidP="00000000" w:rsidRDefault="00000000" w:rsidRPr="00000000" w14:paraId="00000035">
            <w:pPr>
              <w:numPr>
                <w:ilvl w:val="0"/>
                <w:numId w:val="2"/>
              </w:numPr>
              <w:spacing w:after="0" w:lineRule="auto"/>
              <w:ind w:left="720" w:right="936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Further Competition</w:t>
            </w:r>
          </w:p>
          <w:p w:rsidR="00000000" w:rsidDel="00000000" w:rsidP="00000000" w:rsidRDefault="00000000" w:rsidRPr="00000000" w14:paraId="00000036">
            <w:pPr>
              <w:numPr>
                <w:ilvl w:val="0"/>
                <w:numId w:val="2"/>
              </w:numPr>
              <w:spacing w:after="0" w:lineRule="auto"/>
              <w:ind w:left="720" w:right="936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Further Competition with Dialogue</w:t>
            </w:r>
          </w:p>
          <w:p w:rsidR="00000000" w:rsidDel="00000000" w:rsidP="00000000" w:rsidRDefault="00000000" w:rsidRPr="00000000" w14:paraId="00000037">
            <w:pPr>
              <w:numPr>
                <w:ilvl w:val="0"/>
                <w:numId w:val="2"/>
              </w:numPr>
              <w:spacing w:after="0" w:lineRule="auto"/>
              <w:ind w:left="720" w:right="936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Negotiated Further Competition (Defence Buyers only)</w:t>
            </w:r>
          </w:p>
          <w:p w:rsidR="00000000" w:rsidDel="00000000" w:rsidP="00000000" w:rsidRDefault="00000000" w:rsidRPr="00000000" w14:paraId="00000038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See Framework Schedule 7 (Call-off Award Procedure) for further information.</w:t>
            </w:r>
          </w:p>
          <w:p w:rsidR="00000000" w:rsidDel="00000000" w:rsidP="00000000" w:rsidRDefault="00000000" w:rsidRPr="00000000" w14:paraId="0000003A">
            <w:pPr>
              <w:spacing w:after="0" w:lineRule="auto"/>
              <w:ind w:right="936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31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2" w:hanging="32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Incorporated Terms </w:t>
            </w:r>
          </w:p>
          <w:p w:rsidR="00000000" w:rsidDel="00000000" w:rsidP="00000000" w:rsidRDefault="00000000" w:rsidRPr="00000000" w14:paraId="0000003D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(together these documents form the ‘the Framework Contract’)</w:t>
            </w:r>
          </w:p>
          <w:p w:rsidR="00000000" w:rsidDel="00000000" w:rsidP="00000000" w:rsidRDefault="00000000" w:rsidRPr="00000000" w14:paraId="0000003F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8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after="0" w:line="259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</w:tcPr>
          <w:p w:rsidR="00000000" w:rsidDel="00000000" w:rsidP="00000000" w:rsidRDefault="00000000" w:rsidRPr="00000000" w14:paraId="0000004F">
            <w:pPr>
              <w:spacing w:after="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documents are incorporated into the Framework Contract. Where numbers are missing we are not using these schedules. If the documents conflict, the following order of precedence applies:</w:t>
            </w:r>
          </w:p>
          <w:p w:rsidR="00000000" w:rsidDel="00000000" w:rsidP="00000000" w:rsidRDefault="00000000" w:rsidRPr="00000000" w14:paraId="00000050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This Framework Award Form</w:t>
            </w:r>
          </w:p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Any Framework Special Terms (see Section 10 ‘Framework Special Terms’ in this Framework Award Form)</w:t>
            </w:r>
          </w:p>
          <w:p w:rsidR="00000000" w:rsidDel="00000000" w:rsidP="00000000" w:rsidRDefault="00000000" w:rsidRPr="00000000" w14:paraId="00000052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 (Definitions) RM6257 </w:t>
            </w:r>
          </w:p>
          <w:p w:rsidR="00000000" w:rsidDel="00000000" w:rsidP="00000000" w:rsidRDefault="00000000" w:rsidRPr="00000000" w14:paraId="00000053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11 (Processing Data) RM6257 </w:t>
            </w:r>
          </w:p>
          <w:p w:rsidR="00000000" w:rsidDel="00000000" w:rsidP="00000000" w:rsidRDefault="00000000" w:rsidRPr="00000000" w14:paraId="00000054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following Schedules for RM6257 (in equal order of precedence):</w:t>
            </w:r>
          </w:p>
          <w:p w:rsidR="00000000" w:rsidDel="00000000" w:rsidP="00000000" w:rsidRDefault="00000000" w:rsidRPr="00000000" w14:paraId="00000055">
            <w:pPr>
              <w:numPr>
                <w:ilvl w:val="1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1 (Specification) </w:t>
            </w:r>
          </w:p>
          <w:p w:rsidR="00000000" w:rsidDel="00000000" w:rsidP="00000000" w:rsidRDefault="00000000" w:rsidRPr="00000000" w14:paraId="00000056">
            <w:pPr>
              <w:numPr>
                <w:ilvl w:val="1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3 (Framework Prices)</w:t>
            </w:r>
          </w:p>
          <w:p w:rsidR="00000000" w:rsidDel="00000000" w:rsidP="00000000" w:rsidRDefault="00000000" w:rsidRPr="00000000" w14:paraId="00000057">
            <w:pPr>
              <w:numPr>
                <w:ilvl w:val="1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4 (Framework Management)</w:t>
            </w:r>
          </w:p>
          <w:p w:rsidR="00000000" w:rsidDel="00000000" w:rsidP="00000000" w:rsidRDefault="00000000" w:rsidRPr="00000000" w14:paraId="00000058">
            <w:pPr>
              <w:numPr>
                <w:ilvl w:val="1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5 (Management Charges and Information)</w:t>
            </w:r>
          </w:p>
          <w:p w:rsidR="00000000" w:rsidDel="00000000" w:rsidP="00000000" w:rsidRDefault="00000000" w:rsidRPr="00000000" w14:paraId="00000059">
            <w:pPr>
              <w:numPr>
                <w:ilvl w:val="1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6 (Order Form Template and Call-Off Schedules) including the following template Call-Off Schedules: </w:t>
            </w:r>
          </w:p>
          <w:p w:rsidR="00000000" w:rsidDel="00000000" w:rsidP="00000000" w:rsidRDefault="00000000" w:rsidRPr="00000000" w14:paraId="0000005A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1 (Transparency Reports)</w:t>
            </w:r>
          </w:p>
          <w:p w:rsidR="00000000" w:rsidDel="00000000" w:rsidP="00000000" w:rsidRDefault="00000000" w:rsidRPr="00000000" w14:paraId="0000005B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 (Staff Transfer)</w:t>
            </w:r>
          </w:p>
          <w:p w:rsidR="00000000" w:rsidDel="00000000" w:rsidP="00000000" w:rsidRDefault="00000000" w:rsidRPr="00000000" w14:paraId="0000005C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3 (Continuous Improvement)</w:t>
            </w:r>
          </w:p>
          <w:p w:rsidR="00000000" w:rsidDel="00000000" w:rsidP="00000000" w:rsidRDefault="00000000" w:rsidRPr="00000000" w14:paraId="0000005D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4 (Call-Off Tender)</w:t>
              <w:tab/>
              <w:tab/>
            </w:r>
          </w:p>
          <w:p w:rsidR="00000000" w:rsidDel="00000000" w:rsidP="00000000" w:rsidRDefault="00000000" w:rsidRPr="00000000" w14:paraId="0000005E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5 </w:t>
            </w:r>
            <w:r w:rsidDel="00000000" w:rsidR="00000000" w:rsidRPr="00000000">
              <w:rPr>
                <w:rFonts w:ascii="Arial" w:cs="Arial" w:eastAsia="Arial" w:hAnsi="Arial"/>
                <w:i w:val="1"/>
                <w:color w:val="000000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Pricing Details)</w:t>
              <w:tab/>
              <w:t xml:space="preserve">           </w:t>
            </w:r>
          </w:p>
          <w:p w:rsidR="00000000" w:rsidDel="00000000" w:rsidP="00000000" w:rsidRDefault="00000000" w:rsidRPr="00000000" w14:paraId="0000005F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6 (ICT Services) </w:t>
              <w:tab/>
              <w:tab/>
            </w:r>
          </w:p>
          <w:p w:rsidR="00000000" w:rsidDel="00000000" w:rsidP="00000000" w:rsidRDefault="00000000" w:rsidRPr="00000000" w14:paraId="00000060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7 (Key Supplier Staff)</w:t>
              <w:tab/>
              <w:tab/>
            </w:r>
          </w:p>
          <w:p w:rsidR="00000000" w:rsidDel="00000000" w:rsidP="00000000" w:rsidRDefault="00000000" w:rsidRPr="00000000" w14:paraId="00000061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8 (Business Continuity and Disaster Recovery) </w:t>
            </w:r>
          </w:p>
          <w:p w:rsidR="00000000" w:rsidDel="00000000" w:rsidP="00000000" w:rsidRDefault="00000000" w:rsidRPr="00000000" w14:paraId="00000062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9 (Security)</w:t>
              <w:tab/>
              <w:tab/>
              <w:t xml:space="preserve"> </w:t>
              <w:tab/>
              <w:t xml:space="preserve"> </w:t>
            </w:r>
          </w:p>
          <w:p w:rsidR="00000000" w:rsidDel="00000000" w:rsidP="00000000" w:rsidRDefault="00000000" w:rsidRPr="00000000" w14:paraId="00000063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10 (Exit Management) </w:t>
              <w:tab/>
            </w:r>
          </w:p>
          <w:p w:rsidR="00000000" w:rsidDel="00000000" w:rsidP="00000000" w:rsidRDefault="00000000" w:rsidRPr="00000000" w14:paraId="00000064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11 (Installation Works) </w:t>
              <w:tab/>
            </w:r>
          </w:p>
          <w:p w:rsidR="00000000" w:rsidDel="00000000" w:rsidP="00000000" w:rsidRDefault="00000000" w:rsidRPr="00000000" w14:paraId="00000065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12 (Clustering) </w:t>
              <w:tab/>
              <w:tab/>
            </w:r>
          </w:p>
          <w:p w:rsidR="00000000" w:rsidDel="00000000" w:rsidP="00000000" w:rsidRDefault="00000000" w:rsidRPr="00000000" w14:paraId="00000066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13 (Mobilisation Plan and Testing)</w:t>
            </w:r>
          </w:p>
          <w:p w:rsidR="00000000" w:rsidDel="00000000" w:rsidP="00000000" w:rsidRDefault="00000000" w:rsidRPr="00000000" w14:paraId="00000067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14 (Key Performance Indicators)</w:t>
            </w:r>
          </w:p>
          <w:p w:rsidR="00000000" w:rsidDel="00000000" w:rsidP="00000000" w:rsidRDefault="00000000" w:rsidRPr="00000000" w14:paraId="00000068">
            <w:pPr>
              <w:numPr>
                <w:ilvl w:val="2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15 (Call-Off Contract Management)</w:t>
            </w:r>
          </w:p>
          <w:p w:rsidR="00000000" w:rsidDel="00000000" w:rsidP="00000000" w:rsidRDefault="00000000" w:rsidRPr="00000000" w14:paraId="00000069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16 (Benchmarking) </w:t>
              <w:tab/>
              <w:tab/>
            </w:r>
          </w:p>
          <w:p w:rsidR="00000000" w:rsidDel="00000000" w:rsidP="00000000" w:rsidRDefault="00000000" w:rsidRPr="00000000" w14:paraId="0000006A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17 (MOD Terms) </w:t>
              <w:tab/>
              <w:t xml:space="preserve">               </w:t>
            </w:r>
          </w:p>
          <w:p w:rsidR="00000000" w:rsidDel="00000000" w:rsidP="00000000" w:rsidRDefault="00000000" w:rsidRPr="00000000" w14:paraId="0000006B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18 (Background Checks) </w:t>
              <w:tab/>
            </w:r>
          </w:p>
          <w:p w:rsidR="00000000" w:rsidDel="00000000" w:rsidP="00000000" w:rsidRDefault="00000000" w:rsidRPr="00000000" w14:paraId="0000006C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 19 (Scottish Law)</w:t>
              <w:tab/>
              <w:tab/>
              <w:t xml:space="preserve">      </w:t>
            </w:r>
          </w:p>
          <w:p w:rsidR="00000000" w:rsidDel="00000000" w:rsidP="00000000" w:rsidRDefault="00000000" w:rsidRPr="00000000" w14:paraId="0000006D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20 (Call-Off Specification)    </w:t>
            </w:r>
          </w:p>
          <w:p w:rsidR="00000000" w:rsidDel="00000000" w:rsidP="00000000" w:rsidRDefault="00000000" w:rsidRPr="00000000" w14:paraId="0000006E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21 (Northern Ireland Law)    </w:t>
            </w:r>
          </w:p>
          <w:p w:rsidR="00000000" w:rsidDel="00000000" w:rsidP="00000000" w:rsidRDefault="00000000" w:rsidRPr="00000000" w14:paraId="0000006F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22 (Lease Terms)                 </w:t>
            </w:r>
          </w:p>
          <w:p w:rsidR="00000000" w:rsidDel="00000000" w:rsidP="00000000" w:rsidRDefault="00000000" w:rsidRPr="00000000" w14:paraId="00000070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23 (HMRC Terms)               </w:t>
            </w:r>
          </w:p>
          <w:p w:rsidR="00000000" w:rsidDel="00000000" w:rsidP="00000000" w:rsidRDefault="00000000" w:rsidRPr="00000000" w14:paraId="00000071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24(Supplier Furnished Terms) </w:t>
            </w:r>
          </w:p>
          <w:p w:rsidR="00000000" w:rsidDel="00000000" w:rsidP="00000000" w:rsidRDefault="00000000" w:rsidRPr="00000000" w14:paraId="00000072">
            <w:pPr>
              <w:numPr>
                <w:ilvl w:val="2"/>
                <w:numId w:val="1"/>
              </w:numPr>
              <w:spacing w:after="0" w:line="240" w:lineRule="auto"/>
              <w:ind w:left="216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25 (Billable Works and Projects)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   </w:t>
            </w:r>
          </w:p>
          <w:p w:rsidR="00000000" w:rsidDel="00000000" w:rsidP="00000000" w:rsidRDefault="00000000" w:rsidRPr="00000000" w14:paraId="00000073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26 (Buyer Remedies for Default and Step in Rights)    </w:t>
            </w:r>
          </w:p>
          <w:p w:rsidR="00000000" w:rsidDel="00000000" w:rsidP="00000000" w:rsidRDefault="00000000" w:rsidRPr="00000000" w14:paraId="00000074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27 (Accessed Contracts and Construction Contracts)    </w:t>
            </w:r>
          </w:p>
          <w:p w:rsidR="00000000" w:rsidDel="00000000" w:rsidP="00000000" w:rsidRDefault="00000000" w:rsidRPr="00000000" w14:paraId="00000075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28 (TUPE Surcharge)     </w:t>
            </w:r>
          </w:p>
          <w:p w:rsidR="00000000" w:rsidDel="00000000" w:rsidP="00000000" w:rsidRDefault="00000000" w:rsidRPr="00000000" w14:paraId="00000076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29 (Redundancy Surcharge)    </w:t>
            </w:r>
          </w:p>
          <w:p w:rsidR="00000000" w:rsidDel="00000000" w:rsidP="00000000" w:rsidRDefault="00000000" w:rsidRPr="00000000" w14:paraId="00000077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30 (Collateral Warranty Agreements) </w:t>
            </w:r>
          </w:p>
          <w:p w:rsidR="00000000" w:rsidDel="00000000" w:rsidP="00000000" w:rsidRDefault="00000000" w:rsidRPr="00000000" w14:paraId="00000078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31 (Performance Bond) </w:t>
            </w:r>
          </w:p>
          <w:p w:rsidR="00000000" w:rsidDel="00000000" w:rsidP="00000000" w:rsidRDefault="00000000" w:rsidRPr="00000000" w14:paraId="00000079">
            <w:pPr>
              <w:numPr>
                <w:ilvl w:val="2"/>
                <w:numId w:val="1"/>
              </w:numPr>
              <w:spacing w:after="0" w:line="259" w:lineRule="auto"/>
              <w:ind w:left="21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Call-Off Schedule 32 (Consortium Bids)          </w:t>
            </w:r>
          </w:p>
          <w:p w:rsidR="00000000" w:rsidDel="00000000" w:rsidP="00000000" w:rsidRDefault="00000000" w:rsidRPr="00000000" w14:paraId="0000007A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7 (Call-Off Award Procedure)</w:t>
            </w:r>
          </w:p>
          <w:p w:rsidR="00000000" w:rsidDel="00000000" w:rsidP="00000000" w:rsidRDefault="00000000" w:rsidRPr="00000000" w14:paraId="0000007B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8 (Self Audit Certificate) insurance</w:t>
            </w:r>
          </w:p>
          <w:p w:rsidR="00000000" w:rsidDel="00000000" w:rsidP="00000000" w:rsidRDefault="00000000" w:rsidRPr="00000000" w14:paraId="0000007C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9 (Cyber Essentials Scheme) </w:t>
            </w:r>
          </w:p>
          <w:p w:rsidR="00000000" w:rsidDel="00000000" w:rsidP="00000000" w:rsidRDefault="00000000" w:rsidRPr="00000000" w14:paraId="0000007D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2 (Variation Form)</w:t>
            </w:r>
          </w:p>
          <w:p w:rsidR="00000000" w:rsidDel="00000000" w:rsidP="00000000" w:rsidRDefault="00000000" w:rsidRPr="00000000" w14:paraId="0000007E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3 (Insurance Requirements)</w:t>
            </w:r>
          </w:p>
          <w:p w:rsidR="00000000" w:rsidDel="00000000" w:rsidP="00000000" w:rsidRDefault="00000000" w:rsidRPr="00000000" w14:paraId="0000007F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4 (Commercially Sensitive Information)</w:t>
            </w:r>
          </w:p>
          <w:p w:rsidR="00000000" w:rsidDel="00000000" w:rsidP="00000000" w:rsidRDefault="00000000" w:rsidRPr="00000000" w14:paraId="00000080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6 (Key Subcontractors)</w:t>
            </w:r>
          </w:p>
          <w:p w:rsidR="00000000" w:rsidDel="00000000" w:rsidP="00000000" w:rsidRDefault="00000000" w:rsidRPr="00000000" w14:paraId="00000081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7 (Financial Difficulties</w:t>
            </w:r>
          </w:p>
          <w:p w:rsidR="00000000" w:rsidDel="00000000" w:rsidP="00000000" w:rsidRDefault="00000000" w:rsidRPr="00000000" w14:paraId="00000082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8 (Guarantee)</w:t>
            </w:r>
          </w:p>
          <w:p w:rsidR="00000000" w:rsidDel="00000000" w:rsidP="00000000" w:rsidRDefault="00000000" w:rsidRPr="00000000" w14:paraId="00000083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9 (Minimum Standards of Reliability)</w:t>
            </w:r>
          </w:p>
          <w:p w:rsidR="00000000" w:rsidDel="00000000" w:rsidP="00000000" w:rsidRDefault="00000000" w:rsidRPr="00000000" w14:paraId="00000084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10 (Rectification Plan)</w:t>
            </w:r>
          </w:p>
          <w:p w:rsidR="00000000" w:rsidDel="00000000" w:rsidP="00000000" w:rsidRDefault="00000000" w:rsidRPr="00000000" w14:paraId="00000085">
            <w:pPr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144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12 (Supply Chain Visibility)</w:t>
            </w:r>
          </w:p>
          <w:p w:rsidR="00000000" w:rsidDel="00000000" w:rsidP="00000000" w:rsidRDefault="00000000" w:rsidRPr="00000000" w14:paraId="00000086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CCS Core Terms (version 3.0.11)</w:t>
            </w:r>
          </w:p>
          <w:p w:rsidR="00000000" w:rsidDel="00000000" w:rsidP="00000000" w:rsidRDefault="00000000" w:rsidRPr="00000000" w14:paraId="00000087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Joint Schedule 5 (Corporate Social Responsibility) RM6257</w:t>
            </w:r>
          </w:p>
          <w:p w:rsidR="00000000" w:rsidDel="00000000" w:rsidP="00000000" w:rsidRDefault="00000000" w:rsidRPr="00000000" w14:paraId="00000088">
            <w:pPr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Rule="auto"/>
              <w:ind w:left="45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Framework Schedule 2 (Framework Tender) RM6257 as long as any part of the Framework Tender that offers a better commercial position for CCS or Buyers (as decided by CCS) take precedence over the documents above </w:t>
            </w:r>
          </w:p>
          <w:p w:rsidR="00000000" w:rsidDel="00000000" w:rsidP="00000000" w:rsidRDefault="00000000" w:rsidRPr="00000000" w14:paraId="0000008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40" w:hRule="atLeast"/>
          <w:tblHeader w:val="0"/>
        </w:trPr>
        <w:tc>
          <w:tcPr/>
          <w:p w:rsidR="00000000" w:rsidDel="00000000" w:rsidP="00000000" w:rsidRDefault="00000000" w:rsidRPr="00000000" w14:paraId="0000008A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Special Terms</w:t>
            </w:r>
          </w:p>
          <w:p w:rsidR="00000000" w:rsidDel="00000000" w:rsidP="00000000" w:rsidRDefault="00000000" w:rsidRPr="00000000" w14:paraId="0000008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D">
            <w:pPr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Special Term 1 – N/A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 Prices </w:t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Framework Schedule 3 (Framework Prices)</w:t>
            </w:r>
          </w:p>
        </w:tc>
      </w:tr>
      <w:tr>
        <w:trPr>
          <w:cantSplit w:val="0"/>
          <w:trHeight w:val="569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Insurance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Annex of Joint Schedule 3 (Insurance Requirements).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39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Cyber </w:t>
            </w:r>
          </w:p>
          <w:p w:rsidR="00000000" w:rsidDel="00000000" w:rsidP="00000000" w:rsidRDefault="00000000" w:rsidRPr="00000000" w14:paraId="0000009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Essentials Certification</w:t>
            </w:r>
          </w:p>
        </w:tc>
        <w:tc>
          <w:tcPr/>
          <w:p w:rsidR="00000000" w:rsidDel="00000000" w:rsidP="00000000" w:rsidRDefault="00000000" w:rsidRPr="00000000" w14:paraId="0000009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Cyber Essentials Scheme Basic Certificate (or equivalent).</w:t>
            </w:r>
          </w:p>
          <w:p w:rsidR="00000000" w:rsidDel="00000000" w:rsidP="00000000" w:rsidRDefault="00000000" w:rsidRPr="00000000" w14:paraId="0000009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Details in Framework Schedule 9 (Cyber Essentials Scheme)]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31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Management Charge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The Supplier will pay, excluding VAT, 1% of all the Charges for the Deliverables invoiced to the Buyer under all Call-Off Contracts.</w:t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9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Framework</w:t>
            </w:r>
          </w:p>
          <w:p w:rsidR="00000000" w:rsidDel="00000000" w:rsidP="00000000" w:rsidRDefault="00000000" w:rsidRPr="00000000" w14:paraId="0000009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Manager</w:t>
            </w:r>
          </w:p>
        </w:tc>
        <w:tc>
          <w:tcPr/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Authorised Representative</w:t>
            </w:r>
          </w:p>
        </w:tc>
        <w:tc>
          <w:tcPr/>
          <w:p w:rsidR="00000000" w:rsidDel="00000000" w:rsidP="00000000" w:rsidRDefault="00000000" w:rsidRPr="00000000" w14:paraId="000000A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A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A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Compliance Officer</w:t>
            </w:r>
          </w:p>
        </w:tc>
        <w:tc>
          <w:tcPr/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Data Protection </w:t>
            </w:r>
          </w:p>
          <w:p w:rsidR="00000000" w:rsidDel="00000000" w:rsidP="00000000" w:rsidRDefault="00000000" w:rsidRPr="00000000" w14:paraId="000000B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Officer</w:t>
            </w:r>
          </w:p>
        </w:tc>
        <w:tc>
          <w:tcPr/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83" w:hRule="atLeast"/>
          <w:tblHeader w:val="0"/>
        </w:trPr>
        <w:tc>
          <w:tcPr/>
          <w:p w:rsidR="00000000" w:rsidDel="00000000" w:rsidP="00000000" w:rsidRDefault="00000000" w:rsidRPr="00000000" w14:paraId="000000B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Data Protection Liability Cap</w:t>
            </w:r>
          </w:p>
        </w:tc>
        <w:tc>
          <w:tcPr/>
          <w:p w:rsidR="00000000" w:rsidDel="00000000" w:rsidP="00000000" w:rsidRDefault="00000000" w:rsidRPr="00000000" w14:paraId="000000BD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£10,000,000</w:t>
            </w:r>
          </w:p>
          <w:p w:rsidR="00000000" w:rsidDel="00000000" w:rsidP="00000000" w:rsidRDefault="00000000" w:rsidRPr="00000000" w14:paraId="000000BE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Supplier </w:t>
            </w:r>
          </w:p>
          <w:p w:rsidR="00000000" w:rsidDel="00000000" w:rsidP="00000000" w:rsidRDefault="00000000" w:rsidRPr="00000000" w14:paraId="000000C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Marketing Contact</w:t>
            </w:r>
          </w:p>
        </w:tc>
        <w:tc>
          <w:tcPr/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C7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Key Subcontractors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9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Please see embedded folder within the Framework Contract Documents folder.</w:t>
            </w:r>
          </w:p>
          <w:p w:rsidR="00000000" w:rsidDel="00000000" w:rsidP="00000000" w:rsidRDefault="00000000" w:rsidRPr="00000000" w14:paraId="000000CA">
            <w:pPr>
              <w:spacing w:after="120" w:before="120" w:lineRule="auto"/>
              <w:rPr>
                <w:rFonts w:ascii="Arial" w:cs="Arial" w:eastAsia="Arial" w:hAnsi="Arial"/>
                <w:color w:val="000000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33" w:hRule="atLeast"/>
          <w:tblHeader w:val="0"/>
        </w:trPr>
        <w:tc>
          <w:tcPr/>
          <w:p w:rsidR="00000000" w:rsidDel="00000000" w:rsidP="00000000" w:rsidRDefault="00000000" w:rsidRPr="00000000" w14:paraId="000000CB">
            <w:pPr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ind w:left="360" w:hanging="360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CCS </w:t>
            </w:r>
          </w:p>
          <w:p w:rsidR="00000000" w:rsidDel="00000000" w:rsidP="00000000" w:rsidRDefault="00000000" w:rsidRPr="00000000" w14:paraId="000000C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Authorised Representative</w:t>
            </w:r>
          </w:p>
        </w:tc>
        <w:tc>
          <w:tcPr/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spacing w:after="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3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170.000000000002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95b3d7" w:space="0" w:sz="4" w:val="single"/>
          <w:insideV w:color="95b3d7" w:space="0" w:sz="4" w:val="single"/>
        </w:tblBorders>
        <w:tblLayout w:type="fixed"/>
        <w:tblLook w:val="0000"/>
      </w:tblPr>
      <w:tblGrid>
        <w:gridCol w:w="1526"/>
        <w:gridCol w:w="2980"/>
        <w:gridCol w:w="1698"/>
        <w:gridCol w:w="2966"/>
        <w:tblGridChange w:id="0">
          <w:tblGrid>
            <w:gridCol w:w="1526"/>
            <w:gridCol w:w="2980"/>
            <w:gridCol w:w="1698"/>
            <w:gridCol w:w="2966"/>
          </w:tblGrid>
        </w:tblGridChange>
      </w:tblGrid>
      <w:tr>
        <w:trPr>
          <w:cantSplit w:val="0"/>
          <w:trHeight w:val="635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D5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the Supplier: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D7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jc w:val="both"/>
              <w:rPr>
                <w:rFonts w:ascii="Arial" w:cs="Arial" w:eastAsia="Arial" w:hAnsi="Arial"/>
                <w:b w:val="1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4"/>
                <w:szCs w:val="24"/>
                <w:rtl w:val="0"/>
              </w:rPr>
              <w:t xml:space="preserve">For and on behalf of CCS:</w:t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D9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DA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C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Signature:</w:t>
            </w:r>
          </w:p>
        </w:tc>
        <w:tc>
          <w:tcPr/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DF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Name:</w:t>
            </w:r>
          </w:p>
        </w:tc>
        <w:tc>
          <w:tcPr/>
          <w:p w:rsidR="00000000" w:rsidDel="00000000" w:rsidP="00000000" w:rsidRDefault="00000000" w:rsidRPr="00000000" w14:paraId="000000E0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2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Name:</w:t>
            </w:r>
          </w:p>
        </w:tc>
        <w:tc>
          <w:tcPr/>
          <w:p w:rsidR="00000000" w:rsidDel="00000000" w:rsidP="00000000" w:rsidRDefault="00000000" w:rsidRPr="00000000" w14:paraId="000000E3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5" w:hRule="atLeast"/>
          <w:tblHeader w:val="0"/>
        </w:trPr>
        <w:tc>
          <w:tcPr/>
          <w:p w:rsidR="00000000" w:rsidDel="00000000" w:rsidP="00000000" w:rsidRDefault="00000000" w:rsidRPr="00000000" w14:paraId="000000E5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8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Role:</w:t>
            </w:r>
          </w:p>
        </w:tc>
        <w:tc>
          <w:tcPr/>
          <w:p w:rsidR="00000000" w:rsidDel="00000000" w:rsidP="00000000" w:rsidRDefault="00000000" w:rsidRPr="00000000" w14:paraId="000000E9">
            <w:pPr>
              <w:spacing w:after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20"/>
                <w:szCs w:val="20"/>
                <w:rtl w:val="0"/>
              </w:rPr>
              <w:t xml:space="preserve">Redacted under FOIA section 40, Personal Information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A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63" w:hRule="atLeast"/>
          <w:tblHeader w:val="0"/>
        </w:trPr>
        <w:tc>
          <w:tcPr/>
          <w:p w:rsidR="00000000" w:rsidDel="00000000" w:rsidP="00000000" w:rsidRDefault="00000000" w:rsidRPr="00000000" w14:paraId="000000EB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EC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[Date]</w:t>
            </w:r>
          </w:p>
        </w:tc>
        <w:tc>
          <w:tcPr/>
          <w:p w:rsidR="00000000" w:rsidDel="00000000" w:rsidP="00000000" w:rsidRDefault="00000000" w:rsidRPr="00000000" w14:paraId="000000ED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Date:</w:t>
            </w:r>
          </w:p>
        </w:tc>
        <w:tc>
          <w:tcPr/>
          <w:p w:rsidR="00000000" w:rsidDel="00000000" w:rsidP="00000000" w:rsidRDefault="00000000" w:rsidRPr="00000000" w14:paraId="000000EE">
            <w:pPr>
              <w:keepNext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before="240" w:line="240" w:lineRule="auto"/>
              <w:ind w:left="142" w:firstLine="0"/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[Date]</w:t>
            </w:r>
          </w:p>
        </w:tc>
      </w:tr>
    </w:tbl>
    <w:bookmarkStart w:colFirst="0" w:colLast="0" w:name="bookmark=id.30j0zll" w:id="1"/>
    <w:bookmarkEnd w:id="1"/>
    <w:p w:rsidR="00000000" w:rsidDel="00000000" w:rsidP="00000000" w:rsidRDefault="00000000" w:rsidRPr="00000000" w14:paraId="000000E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792" w:firstLine="0"/>
        <w:rPr>
          <w:rFonts w:ascii="Arial" w:cs="Arial" w:eastAsia="Arial" w:hAnsi="Arial"/>
          <w:i w:val="1"/>
        </w:rPr>
      </w:pPr>
      <w:bookmarkStart w:colFirst="0" w:colLast="0" w:name="_heading=h.30j0zll" w:id="2"/>
      <w:bookmarkEnd w:id="2"/>
      <w:r w:rsidDel="00000000" w:rsidR="00000000" w:rsidRPr="00000000">
        <w:rPr>
          <w:rtl w:val="0"/>
        </w:rPr>
      </w:r>
    </w:p>
    <w:sectPr>
      <w:type w:val="nextPage"/>
      <w:pgSz w:h="16838" w:w="11906" w:orient="portrait"/>
      <w:pgMar w:bottom="1440" w:top="1440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Arial"/>
  <w:font w:name="Georgia"/>
  <w:font w:name="Times New Roman"/>
  <w:font w:name="Courier New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5">
    <w:pPr>
      <w:tabs>
        <w:tab w:val="center" w:pos="4513"/>
        <w:tab w:val="right" w:pos="9026"/>
      </w:tabs>
      <w:spacing w:after="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6">
    <w:pPr>
      <w:tabs>
        <w:tab w:val="center" w:pos="4513"/>
        <w:tab w:val="right" w:pos="9026"/>
      </w:tabs>
      <w:spacing w:after="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Framework Ref: RM</w:t>
      <w:tab/>
      <w:t xml:space="preserve">                                           </w:t>
    </w:r>
  </w:p>
  <w:p w:rsidR="00000000" w:rsidDel="00000000" w:rsidP="00000000" w:rsidRDefault="00000000" w:rsidRPr="00000000" w14:paraId="000000F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Project Version: v1.0</w:t>
      <w:tab/>
      <w:tab/>
      <w:tab/>
      <w:t xml:space="preserve"> </w:t>
    </w:r>
    <w:r w:rsidDel="00000000" w:rsidR="00000000" w:rsidRPr="00000000">
      <w:rPr>
        <w:rFonts w:ascii="Arial" w:cs="Arial" w:eastAsia="Arial" w:hAnsi="Arial"/>
        <w:color w:val="a6a6a6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8">
    <w:pPr>
      <w:spacing w:after="0" w:line="240" w:lineRule="auto"/>
      <w:jc w:val="both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Model Version : v2.9</w:t>
      <w:tab/>
      <w:tab/>
      <w:tab/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9">
    <w:pPr>
      <w:tabs>
        <w:tab w:val="center" w:pos="4513"/>
        <w:tab w:val="right" w:pos="9026"/>
      </w:tabs>
      <w:spacing w:after="0" w:lineRule="auto"/>
      <w:rPr>
        <w:color w:val="a6a6a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A">
    <w:pPr>
      <w:tabs>
        <w:tab w:val="center" w:pos="4513"/>
        <w:tab w:val="right" w:pos="9026"/>
      </w:tabs>
      <w:spacing w:after="0" w:lineRule="auto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Framework Ref: RM6257</w:t>
      <w:tab/>
      <w:t xml:space="preserve">                                           </w:t>
    </w:r>
  </w:p>
  <w:p w:rsidR="00000000" w:rsidDel="00000000" w:rsidP="00000000" w:rsidRDefault="00000000" w:rsidRPr="00000000" w14:paraId="000000FB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000000"/>
        <w:sz w:val="20"/>
        <w:szCs w:val="20"/>
        <w:rtl w:val="0"/>
      </w:rPr>
      <w:t xml:space="preserve">Project Version: v1.0</w:t>
      <w:tab/>
      <w:tab/>
      <w:t xml:space="preserve"> </w:t>
    </w:r>
    <w:r w:rsidDel="00000000" w:rsidR="00000000" w:rsidRPr="00000000">
      <w:rPr>
        <w:rFonts w:ascii="Arial" w:cs="Arial" w:eastAsia="Arial" w:hAnsi="Arial"/>
        <w:color w:val="000000"/>
        <w:sz w:val="20"/>
        <w:szCs w:val="20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C">
    <w:pPr>
      <w:spacing w:after="0" w:line="240" w:lineRule="auto"/>
      <w:jc w:val="both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Model Version: v3.10</w:t>
      <w:tab/>
      <w:tab/>
      <w:tab/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rFonts w:ascii="Arial" w:cs="Arial" w:eastAsia="Arial" w:hAnsi="Arial"/>
        <w:b w:val="1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color w:val="a6a6a6"/>
        <w:sz w:val="20"/>
        <w:szCs w:val="20"/>
        <w:rtl w:val="0"/>
      </w:rPr>
      <w:t xml:space="preserve">Framework Award Form</w:t>
    </w:r>
  </w:p>
  <w:p w:rsidR="00000000" w:rsidDel="00000000" w:rsidP="00000000" w:rsidRDefault="00000000" w:rsidRPr="00000000" w14:paraId="000000F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rFonts w:ascii="Arial" w:cs="Arial" w:eastAsia="Arial" w:hAnsi="Arial"/>
        <w:color w:val="a6a6a6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a6a6a6"/>
        <w:sz w:val="20"/>
        <w:szCs w:val="20"/>
        <w:rtl w:val="0"/>
      </w:rPr>
      <w:t xml:space="preserve">Crown Copyright 2018</w:t>
    </w:r>
  </w:p>
  <w:p w:rsidR="00000000" w:rsidDel="00000000" w:rsidP="00000000" w:rsidRDefault="00000000" w:rsidRPr="00000000" w14:paraId="000000F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Framework Award Form</w:t>
    </w:r>
  </w:p>
  <w:p w:rsidR="00000000" w:rsidDel="00000000" w:rsidP="00000000" w:rsidRDefault="00000000" w:rsidRPr="00000000" w14:paraId="000000F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Crown Copyright 2018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450" w:hanging="360"/>
      </w:pPr>
      <w:rPr/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1"/>
      <w:numFmt w:val="decimal"/>
      <w:lvlText w:val="%1."/>
      <w:lvlJc w:val="left"/>
      <w:pPr>
        <w:ind w:left="644" w:hanging="357"/>
      </w:pPr>
      <w:rPr>
        <w:b w:val="1"/>
      </w:rPr>
    </w:lvl>
    <w:lvl w:ilvl="1">
      <w:start w:val="1"/>
      <w:numFmt w:val="lowerLetter"/>
      <w:lvlText w:val="%2."/>
      <w:lvlJc w:val="left"/>
      <w:pPr>
        <w:ind w:left="1364" w:hanging="360"/>
      </w:pPr>
      <w:rPr/>
    </w:lvl>
    <w:lvl w:ilvl="2">
      <w:start w:val="1"/>
      <w:numFmt w:val="lowerRoman"/>
      <w:lvlText w:val="%3."/>
      <w:lvlJc w:val="right"/>
      <w:pPr>
        <w:ind w:left="2084" w:hanging="180"/>
      </w:pPr>
      <w:rPr/>
    </w:lvl>
    <w:lvl w:ilvl="3">
      <w:start w:val="1"/>
      <w:numFmt w:val="decimal"/>
      <w:lvlText w:val="%4."/>
      <w:lvlJc w:val="left"/>
      <w:pPr>
        <w:ind w:left="2804" w:hanging="360"/>
      </w:pPr>
      <w:rPr/>
    </w:lvl>
    <w:lvl w:ilvl="4">
      <w:start w:val="1"/>
      <w:numFmt w:val="lowerLetter"/>
      <w:lvlText w:val="%5."/>
      <w:lvlJc w:val="left"/>
      <w:pPr>
        <w:ind w:left="3524" w:hanging="360"/>
      </w:pPr>
      <w:rPr/>
    </w:lvl>
    <w:lvl w:ilvl="5">
      <w:start w:val="1"/>
      <w:numFmt w:val="lowerRoman"/>
      <w:lvlText w:val="%6."/>
      <w:lvlJc w:val="right"/>
      <w:pPr>
        <w:ind w:left="4244" w:hanging="180"/>
      </w:pPr>
      <w:rPr/>
    </w:lvl>
    <w:lvl w:ilvl="6">
      <w:start w:val="1"/>
      <w:numFmt w:val="decimal"/>
      <w:lvlText w:val="%7."/>
      <w:lvlJc w:val="left"/>
      <w:pPr>
        <w:ind w:left="4964" w:hanging="360"/>
      </w:pPr>
      <w:rPr/>
    </w:lvl>
    <w:lvl w:ilvl="7">
      <w:start w:val="1"/>
      <w:numFmt w:val="lowerLetter"/>
      <w:lvlText w:val="%8."/>
      <w:lvlJc w:val="left"/>
      <w:pPr>
        <w:ind w:left="5684" w:hanging="360"/>
      </w:pPr>
      <w:rPr/>
    </w:lvl>
    <w:lvl w:ilvl="8">
      <w:start w:val="1"/>
      <w:numFmt w:val="lowerRoman"/>
      <w:lvlText w:val="%9."/>
      <w:lvlJc w:val="right"/>
      <w:pPr>
        <w:ind w:left="6404" w:hanging="180"/>
      </w:pPr>
      <w:rPr/>
    </w:lvl>
  </w:abstractNum>
  <w:abstractNum w:abstractNumId="4">
    <w:lvl w:ilvl="0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243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315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387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459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31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603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675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470" w:hanging="360"/>
      </w:pPr>
      <w:rPr>
        <w:rFonts w:ascii="Noto Sans" w:cs="Noto Sans" w:eastAsia="Noto Sans" w:hAnsi="Noto San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tabs>
        <w:tab w:val="left" w:pos="-5585"/>
      </w:tabs>
      <w:spacing w:after="120" w:line="240" w:lineRule="auto"/>
      <w:ind w:left="3600" w:hanging="360"/>
      <w:jc w:val="both"/>
    </w:pPr>
    <w:rPr>
      <w:rFonts w:ascii="Arial" w:cs="Arial" w:eastAsia="Arial" w:hAnsi="Arial"/>
    </w:rPr>
  </w:style>
  <w:style w:type="paragraph" w:styleId="Heading6">
    <w:name w:val="heading 6"/>
    <w:basedOn w:val="Normal"/>
    <w:next w:val="Normal"/>
    <w:pPr>
      <w:tabs>
        <w:tab w:val="left" w:pos="-8987"/>
        <w:tab w:val="left" w:pos="-8420"/>
      </w:tabs>
      <w:spacing w:after="120" w:line="240" w:lineRule="auto"/>
      <w:ind w:left="3600" w:hanging="360"/>
      <w:jc w:val="both"/>
    </w:pPr>
    <w:rPr>
      <w:rFonts w:ascii="Arial" w:cs="Arial" w:eastAsia="Arial" w:hAnsi="Arial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pPr>
      <w:suppressAutoHyphens w:val="1"/>
    </w:pPr>
    <w:rPr>
      <w:lang w:eastAsia="en-US"/>
    </w:rPr>
  </w:style>
  <w:style w:type="paragraph" w:styleId="Heading1">
    <w:name w:val="heading 1"/>
    <w:basedOn w:val="Normal"/>
    <w:next w:val="Normal"/>
    <w:uiPriority w:val="9"/>
    <w:qFormat w:val="1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Heading5">
    <w:name w:val="heading 5"/>
    <w:basedOn w:val="Normal"/>
    <w:uiPriority w:val="9"/>
    <w:semiHidden w:val="1"/>
    <w:unhideWhenUsed w:val="1"/>
    <w:qFormat w:val="1"/>
    <w:pPr>
      <w:numPr>
        <w:ilvl w:val="4"/>
        <w:numId w:val="1"/>
      </w:numPr>
      <w:tabs>
        <w:tab w:val="left" w:pos="-5585"/>
      </w:tabs>
      <w:suppressAutoHyphens w:val="0"/>
      <w:overflowPunct w:val="0"/>
      <w:autoSpaceDE w:val="0"/>
      <w:spacing w:after="120" w:line="240" w:lineRule="auto"/>
      <w:jc w:val="both"/>
      <w:outlineLvl w:val="4"/>
    </w:pPr>
    <w:rPr>
      <w:rFonts w:ascii="Arial" w:eastAsia="Times New Roman" w:hAnsi="Arial"/>
    </w:rPr>
  </w:style>
  <w:style w:type="paragraph" w:styleId="Heading6">
    <w:name w:val="heading 6"/>
    <w:basedOn w:val="Heading5"/>
    <w:uiPriority w:val="9"/>
    <w:semiHidden w:val="1"/>
    <w:unhideWhenUsed w:val="1"/>
    <w:qFormat w:val="1"/>
    <w:pPr>
      <w:numPr>
        <w:ilvl w:val="5"/>
      </w:numPr>
      <w:tabs>
        <w:tab w:val="clear" w:pos="-5585"/>
        <w:tab w:val="left" w:pos="-8987"/>
        <w:tab w:val="left" w:pos="-8420"/>
      </w:tabs>
      <w:outlineLvl w:val="5"/>
    </w:pPr>
  </w:style>
  <w:style w:type="paragraph" w:styleId="Heading7">
    <w:name w:val="heading 7"/>
    <w:basedOn w:val="Heading6"/>
    <w:pPr>
      <w:numPr>
        <w:ilvl w:val="6"/>
      </w:numPr>
      <w:tabs>
        <w:tab w:val="clear" w:pos="-8987"/>
        <w:tab w:val="clear" w:pos="-8420"/>
        <w:tab w:val="left" w:pos="-10688"/>
        <w:tab w:val="left" w:pos="-9554"/>
      </w:tabs>
      <w:outlineLvl w:val="6"/>
    </w:pPr>
  </w:style>
  <w:style w:type="paragraph" w:styleId="Heading8">
    <w:name w:val="heading 8"/>
    <w:basedOn w:val="Heading7"/>
    <w:pPr>
      <w:numPr>
        <w:ilvl w:val="7"/>
      </w:numPr>
      <w:tabs>
        <w:tab w:val="clear" w:pos="-9554"/>
        <w:tab w:val="left" w:pos="-12360"/>
        <w:tab w:val="left" w:pos="-9383"/>
      </w:tabs>
      <w:outlineLvl w:val="7"/>
    </w:p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Title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numbering" w:styleId="WWOutlineListStyle8" w:customStyle="1">
    <w:name w:val="WW_OutlineListStyle_8"/>
    <w:basedOn w:val="NoList"/>
  </w:style>
  <w:style w:type="paragraph" w:styleId="Level1Heading" w:customStyle="1">
    <w:name w:val="Level 1 Heading"/>
    <w:basedOn w:val="BodyText"/>
    <w:next w:val="Normal"/>
    <w:pPr>
      <w:keepNext w:val="1"/>
      <w:tabs>
        <w:tab w:val="left" w:pos="-1342"/>
      </w:tabs>
      <w:suppressAutoHyphens w:val="0"/>
      <w:spacing w:after="200" w:before="360" w:line="360" w:lineRule="auto"/>
      <w:outlineLvl w:val="0"/>
    </w:pPr>
    <w:rPr>
      <w:rFonts w:ascii="Arial" w:eastAsia="Times New Roman" w:hAnsi="Arial"/>
      <w:b w:val="1"/>
      <w:szCs w:val="20"/>
    </w:rPr>
  </w:style>
  <w:style w:type="paragraph" w:styleId="GPSL1CLAUSEHEADING" w:customStyle="1">
    <w:name w:val="GPS L1 CLAUSE HEADING"/>
    <w:basedOn w:val="Normal"/>
    <w:next w:val="Normal"/>
    <w:qFormat w:val="1"/>
    <w:pPr>
      <w:tabs>
        <w:tab w:val="left" w:pos="-3864"/>
      </w:tabs>
      <w:suppressAutoHyphens w:val="0"/>
      <w:spacing w:after="240" w:before="240" w:line="240" w:lineRule="auto"/>
      <w:jc w:val="both"/>
      <w:outlineLvl w:val="1"/>
    </w:pPr>
    <w:rPr>
      <w:rFonts w:ascii="Arial Bold" w:cs="Arial" w:eastAsia="STZhongsong" w:hAnsi="Arial Bold"/>
      <w:b w:val="1"/>
      <w:caps w:val="1"/>
      <w:lang w:eastAsia="zh-CN"/>
    </w:rPr>
  </w:style>
  <w:style w:type="character" w:styleId="Heading5Char" w:customStyle="1">
    <w:name w:val="Heading 5 Char"/>
    <w:basedOn w:val="DefaultParagraphFont"/>
    <w:rPr>
      <w:rFonts w:ascii="Arial" w:eastAsia="Times New Roman" w:hAnsi="Arial"/>
      <w:sz w:val="22"/>
      <w:szCs w:val="22"/>
      <w:lang w:eastAsia="en-US"/>
    </w:rPr>
  </w:style>
  <w:style w:type="character" w:styleId="Heading6Char" w:customStyle="1">
    <w:name w:val="Heading 6 Char"/>
    <w:basedOn w:val="DefaultParagraphFont"/>
    <w:rPr>
      <w:rFonts w:ascii="Arial" w:eastAsia="Times New Roman" w:hAnsi="Arial"/>
      <w:sz w:val="22"/>
      <w:szCs w:val="22"/>
      <w:lang w:eastAsia="en-US"/>
    </w:rPr>
  </w:style>
  <w:style w:type="paragraph" w:styleId="GPSL2NumberedBoldHeading" w:customStyle="1">
    <w:name w:val="GPS L2 Numbered Bold Heading"/>
    <w:basedOn w:val="Normal"/>
    <w:qFormat w:val="1"/>
    <w:pPr>
      <w:tabs>
        <w:tab w:val="left" w:pos="1134"/>
      </w:tabs>
      <w:suppressAutoHyphens w:val="0"/>
      <w:spacing w:after="120" w:before="120" w:line="240" w:lineRule="auto"/>
      <w:ind w:left="1494" w:hanging="218"/>
      <w:jc w:val="both"/>
    </w:pPr>
    <w:rPr>
      <w:rFonts w:cs="Arial" w:eastAsia="Times New Roman"/>
      <w:b w:val="1"/>
      <w:lang w:eastAsia="zh-CN"/>
    </w:rPr>
  </w:style>
  <w:style w:type="paragraph" w:styleId="BodyText1" w:customStyle="1">
    <w:name w:val="Body Text 1"/>
    <w:basedOn w:val="BodyText"/>
    <w:pPr>
      <w:suppressAutoHyphens w:val="0"/>
      <w:spacing w:after="240" w:line="360" w:lineRule="auto"/>
      <w:ind w:left="851"/>
    </w:pPr>
    <w:rPr>
      <w:rFonts w:ascii="Arial" w:eastAsia="Times New Roman" w:hAnsi="Arial"/>
      <w:sz w:val="20"/>
      <w:szCs w:val="20"/>
    </w:rPr>
  </w:style>
  <w:style w:type="paragraph" w:styleId="ListParagraph">
    <w:name w:val="List Paragraph"/>
    <w:basedOn w:val="Normal"/>
    <w:pPr>
      <w:ind w:left="720"/>
    </w:pPr>
  </w:style>
  <w:style w:type="character" w:styleId="Emphasis">
    <w:name w:val="Emphasis"/>
    <w:basedOn w:val="DefaultParagraphFont"/>
    <w:rPr>
      <w:i w:val="1"/>
      <w:iCs w:val="1"/>
    </w:rPr>
  </w:style>
  <w:style w:type="paragraph" w:styleId="11table" w:customStyle="1">
    <w:name w:val="1.1 table"/>
    <w:basedOn w:val="Normal"/>
    <w:qFormat w:val="1"/>
    <w:pPr>
      <w:numPr>
        <w:numId w:val="5"/>
      </w:numPr>
      <w:suppressAutoHyphens w:val="0"/>
      <w:spacing w:after="0" w:line="240" w:lineRule="auto"/>
    </w:pPr>
    <w:rPr>
      <w:rFonts w:eastAsia="STZhongsong"/>
      <w:b w:val="1"/>
      <w:lang w:eastAsia="zh-CN"/>
    </w:rPr>
  </w:style>
  <w:style w:type="character" w:styleId="11tableChar" w:customStyle="1">
    <w:name w:val="1.1 table Char"/>
    <w:rPr>
      <w:rFonts w:eastAsia="STZhongsong"/>
      <w:b w:val="1"/>
      <w:sz w:val="22"/>
      <w:szCs w:val="22"/>
      <w:lang w:eastAsia="zh-CN"/>
    </w:rPr>
  </w:style>
  <w:style w:type="paragraph" w:styleId="BalloonText">
    <w:name w:val="Balloon Text"/>
    <w:basedOn w:val="Normal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rPr>
      <w:rFonts w:ascii="Tahoma" w:cs="Tahoma" w:hAnsi="Tahoma"/>
      <w:sz w:val="16"/>
      <w:szCs w:val="16"/>
      <w:lang w:eastAsia="en-US"/>
    </w:rPr>
  </w:style>
  <w:style w:type="paragraph" w:styleId="Header">
    <w:name w:val="header"/>
    <w:basedOn w:val="Normal"/>
    <w:uiPriority w:val="99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uiPriority w:val="99"/>
    <w:rPr>
      <w:sz w:val="22"/>
      <w:szCs w:val="22"/>
      <w:lang w:eastAsia="en-US"/>
    </w:rPr>
  </w:style>
  <w:style w:type="paragraph" w:styleId="Footer">
    <w:name w:val="footer"/>
    <w:basedOn w:val="Normal"/>
    <w:uiPriority w:val="99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uiPriority w:val="99"/>
    <w:rPr>
      <w:sz w:val="22"/>
      <w:szCs w:val="22"/>
      <w:lang w:eastAsia="en-US"/>
    </w:rPr>
  </w:style>
  <w:style w:type="paragraph" w:styleId="MarginText" w:customStyle="1">
    <w:name w:val="Margin Text"/>
    <w:basedOn w:val="Normal"/>
    <w:pPr>
      <w:keepNext w:val="1"/>
      <w:suppressAutoHyphens w:val="0"/>
      <w:spacing w:after="120" w:before="240" w:line="240" w:lineRule="auto"/>
      <w:ind w:left="142"/>
      <w:jc w:val="both"/>
    </w:pPr>
    <w:rPr>
      <w:rFonts w:ascii="Arial" w:eastAsia="STZhongsong" w:hAnsi="Arial"/>
      <w:sz w:val="18"/>
      <w:szCs w:val="18"/>
      <w:lang w:eastAsia="zh-CN"/>
    </w:rPr>
  </w:style>
  <w:style w:type="character" w:styleId="MarginTextChar" w:customStyle="1">
    <w:name w:val="Margin Text Char"/>
    <w:rPr>
      <w:rFonts w:ascii="Arial" w:eastAsia="STZhongsong" w:hAnsi="Arial"/>
      <w:sz w:val="18"/>
      <w:szCs w:val="18"/>
      <w:lang w:eastAsia="zh-CN"/>
    </w:rPr>
  </w:style>
  <w:style w:type="paragraph" w:styleId="GPSL2numberedclause" w:customStyle="1">
    <w:name w:val="GPS L2 numbered clause"/>
    <w:basedOn w:val="Normal"/>
    <w:qFormat w:val="1"/>
    <w:pPr>
      <w:tabs>
        <w:tab w:val="left" w:pos="1134"/>
      </w:tabs>
      <w:suppressAutoHyphens w:val="0"/>
      <w:spacing w:after="120" w:before="120" w:line="240" w:lineRule="auto"/>
      <w:ind w:left="1134" w:hanging="567"/>
      <w:jc w:val="both"/>
    </w:pPr>
    <w:rPr>
      <w:rFonts w:cs="Arial" w:eastAsia="Times New Roman"/>
      <w:lang w:eastAsia="zh-CN"/>
    </w:rPr>
  </w:style>
  <w:style w:type="paragraph" w:styleId="GPSL3numberedclause" w:customStyle="1">
    <w:name w:val="GPS L3 numbered clause"/>
    <w:basedOn w:val="GPSL2numberedclause"/>
    <w:qFormat w:val="1"/>
    <w:pPr>
      <w:tabs>
        <w:tab w:val="clear" w:pos="1134"/>
        <w:tab w:val="left" w:pos="1985"/>
        <w:tab w:val="left" w:pos="2127"/>
      </w:tabs>
      <w:ind w:left="1985" w:hanging="851"/>
    </w:pPr>
  </w:style>
  <w:style w:type="paragraph" w:styleId="GPSL4numberedclause" w:customStyle="1">
    <w:name w:val="GPS L4 numbered clause"/>
    <w:basedOn w:val="GPSL3numberedclause"/>
    <w:qFormat w:val="1"/>
    <w:pPr>
      <w:tabs>
        <w:tab w:val="clear" w:pos="2127"/>
      </w:tabs>
      <w:ind w:left="2835" w:hanging="708"/>
    </w:pPr>
    <w:rPr>
      <w:szCs w:val="20"/>
    </w:rPr>
  </w:style>
  <w:style w:type="character" w:styleId="GPSL2numberedclauseChar1" w:customStyle="1">
    <w:name w:val="GPS L2 numbered clause Char1"/>
    <w:rPr>
      <w:rFonts w:cs="Arial" w:eastAsia="Times New Roman"/>
      <w:sz w:val="22"/>
      <w:szCs w:val="22"/>
      <w:lang w:eastAsia="zh-CN"/>
    </w:rPr>
  </w:style>
  <w:style w:type="character" w:styleId="GPSL3numberedclauseChar" w:customStyle="1">
    <w:name w:val="GPS L3 numbered clause Char"/>
    <w:rPr>
      <w:rFonts w:cs="Arial" w:eastAsia="Times New Roman"/>
      <w:sz w:val="22"/>
      <w:szCs w:val="22"/>
      <w:lang w:eastAsia="zh-CN"/>
    </w:rPr>
  </w:style>
  <w:style w:type="paragraph" w:styleId="GPSL5numberedclause" w:customStyle="1">
    <w:name w:val="GPS L5 numbered clause"/>
    <w:basedOn w:val="GPSL4numberedclause"/>
    <w:qFormat w:val="1"/>
    <w:pPr>
      <w:tabs>
        <w:tab w:val="left" w:pos="3402"/>
      </w:tabs>
      <w:ind w:left="3402" w:hanging="567"/>
    </w:pPr>
  </w:style>
  <w:style w:type="paragraph" w:styleId="GPSL6numbered" w:customStyle="1">
    <w:name w:val="GPS L6 numbered"/>
    <w:basedOn w:val="GPSL5numberedclause"/>
    <w:qFormat w:val="1"/>
    <w:pPr>
      <w:tabs>
        <w:tab w:val="clear" w:pos="1985"/>
        <w:tab w:val="clear" w:pos="3402"/>
        <w:tab w:val="num" w:pos="720"/>
        <w:tab w:val="left" w:pos="24049"/>
        <w:tab w:val="left" w:pos="25466"/>
        <w:tab w:val="left" w:pos="26317"/>
      </w:tabs>
      <w:ind w:left="720" w:hanging="720"/>
    </w:pPr>
  </w:style>
  <w:style w:type="paragraph" w:styleId="Style1" w:customStyle="1">
    <w:name w:val="Style1"/>
    <w:basedOn w:val="ListParagraph"/>
    <w:pPr>
      <w:tabs>
        <w:tab w:val="num" w:pos="720"/>
      </w:tabs>
      <w:ind w:hanging="720"/>
    </w:pPr>
    <w:rPr>
      <w:b w:val="1"/>
      <w:sz w:val="20"/>
    </w:rPr>
  </w:style>
  <w:style w:type="character" w:styleId="ListParagraphChar" w:customStyle="1">
    <w:name w:val="List Paragraph Char"/>
    <w:basedOn w:val="DefaultParagraphFont"/>
    <w:rPr>
      <w:sz w:val="22"/>
      <w:szCs w:val="22"/>
      <w:lang w:eastAsia="en-US"/>
    </w:rPr>
  </w:style>
  <w:style w:type="character" w:styleId="Style1Char" w:customStyle="1">
    <w:name w:val="Style1 Char"/>
    <w:basedOn w:val="ListParagraphChar"/>
    <w:rPr>
      <w:b w:val="1"/>
      <w:sz w:val="22"/>
      <w:szCs w:val="22"/>
      <w:lang w:eastAsia="en-US"/>
    </w:rPr>
  </w:style>
  <w:style w:type="character" w:styleId="CommentReference">
    <w:name w:val="annotation reference"/>
    <w:basedOn w:val="DefaultParagraphFont"/>
    <w:rPr>
      <w:sz w:val="16"/>
      <w:szCs w:val="16"/>
    </w:rPr>
  </w:style>
  <w:style w:type="paragraph" w:styleId="CommentText">
    <w:name w:val="annotation text"/>
    <w:basedOn w:val="Normal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rPr>
      <w:lang w:eastAsia="en-US"/>
    </w:rPr>
  </w:style>
  <w:style w:type="paragraph" w:styleId="CommentSubject">
    <w:name w:val="annotation subject"/>
    <w:basedOn w:val="CommentText"/>
    <w:next w:val="CommentText"/>
    <w:rPr>
      <w:b w:val="1"/>
      <w:bCs w:val="1"/>
    </w:rPr>
  </w:style>
  <w:style w:type="character" w:styleId="CommentSubjectChar" w:customStyle="1">
    <w:name w:val="Comment Subject Char"/>
    <w:basedOn w:val="CommentTextChar"/>
    <w:rPr>
      <w:b w:val="1"/>
      <w:bCs w:val="1"/>
      <w:lang w:eastAsia="en-US"/>
    </w:rPr>
  </w:style>
  <w:style w:type="paragraph" w:styleId="Revision">
    <w:name w:val="Revision"/>
    <w:rPr>
      <w:lang w:eastAsia="en-US"/>
    </w:rPr>
  </w:style>
  <w:style w:type="paragraph" w:styleId="GPsDefinition" w:customStyle="1">
    <w:name w:val="GPs Definition"/>
    <w:basedOn w:val="Normal"/>
    <w:pPr>
      <w:tabs>
        <w:tab w:val="left" w:pos="-179"/>
      </w:tabs>
      <w:suppressAutoHyphens w:val="0"/>
      <w:overflowPunct w:val="0"/>
      <w:autoSpaceDE w:val="0"/>
      <w:spacing w:after="120" w:line="240" w:lineRule="auto"/>
      <w:jc w:val="both"/>
    </w:pPr>
    <w:rPr>
      <w:rFonts w:ascii="Arial" w:cs="Arial" w:eastAsia="Times New Roman" w:hAnsi="Arial"/>
    </w:rPr>
  </w:style>
  <w:style w:type="paragraph" w:styleId="GPSDefinitionL2" w:customStyle="1">
    <w:name w:val="GPS Definition L2"/>
    <w:basedOn w:val="GPsDefinition"/>
    <w:pPr>
      <w:tabs>
        <w:tab w:val="clear" w:pos="-179"/>
        <w:tab w:val="left" w:pos="-576"/>
      </w:tabs>
      <w:ind w:hanging="545"/>
    </w:pPr>
  </w:style>
  <w:style w:type="character" w:styleId="GPSDefinitionL2Char" w:customStyle="1">
    <w:name w:val="GPS Definition L2 Char"/>
    <w:rPr>
      <w:rFonts w:ascii="Arial" w:cs="Arial" w:eastAsia="Times New Roman" w:hAnsi="Arial"/>
      <w:sz w:val="22"/>
      <w:szCs w:val="22"/>
      <w:lang w:eastAsia="en-US"/>
    </w:rPr>
  </w:style>
  <w:style w:type="paragraph" w:styleId="GPSDefinitionL3" w:customStyle="1">
    <w:name w:val="GPS Definition L3"/>
    <w:basedOn w:val="GPSDefinitionL2"/>
  </w:style>
  <w:style w:type="paragraph" w:styleId="GPSDefinitionL4" w:customStyle="1">
    <w:name w:val="GPS Definition L4"/>
    <w:basedOn w:val="GPSDefinitionL3"/>
    <w:pPr>
      <w:tabs>
        <w:tab w:val="clear" w:pos="-576"/>
        <w:tab w:val="left" w:pos="-2316"/>
        <w:tab w:val="left" w:pos="-2100"/>
        <w:tab w:val="num" w:pos="720"/>
      </w:tabs>
      <w:ind w:left="720" w:hanging="720"/>
    </w:pPr>
  </w:style>
  <w:style w:type="character" w:styleId="GPSDefinitionL3Char" w:customStyle="1">
    <w:name w:val="GPS Definition L3 Char"/>
    <w:rPr>
      <w:rFonts w:ascii="Arial" w:cs="Arial" w:eastAsia="Times New Roman" w:hAnsi="Arial"/>
      <w:sz w:val="22"/>
      <w:szCs w:val="22"/>
      <w:lang w:eastAsia="en-US"/>
    </w:rPr>
  </w:style>
  <w:style w:type="paragraph" w:styleId="FootnoteText">
    <w:name w:val="footnote text"/>
    <w:basedOn w:val="Normal"/>
    <w:pPr>
      <w:suppressAutoHyphens w:val="0"/>
      <w:overflowPunct w:val="0"/>
      <w:autoSpaceDE w:val="0"/>
      <w:spacing w:after="240" w:line="240" w:lineRule="auto"/>
      <w:ind w:left="1418"/>
      <w:jc w:val="both"/>
    </w:pPr>
    <w:rPr>
      <w:rFonts w:ascii="Arial" w:cs="Arial" w:eastAsia="Times New Roman" w:hAnsi="Arial"/>
      <w:sz w:val="20"/>
      <w:szCs w:val="20"/>
    </w:rPr>
  </w:style>
  <w:style w:type="character" w:styleId="FootnoteTextChar" w:customStyle="1">
    <w:name w:val="Footnote Text Char"/>
    <w:basedOn w:val="DefaultParagraphFont"/>
    <w:rPr>
      <w:rFonts w:ascii="Arial" w:cs="Arial" w:eastAsia="Times New Roman" w:hAnsi="Arial"/>
      <w:lang w:eastAsia="en-US"/>
    </w:rPr>
  </w:style>
  <w:style w:type="paragraph" w:styleId="BodyText">
    <w:name w:val="Body Text"/>
    <w:basedOn w:val="Normal"/>
    <w:pPr>
      <w:spacing w:after="120"/>
    </w:pPr>
  </w:style>
  <w:style w:type="character" w:styleId="BodyTextChar" w:customStyle="1">
    <w:name w:val="Body Text Char"/>
    <w:basedOn w:val="DefaultParagraphFont"/>
    <w:rPr>
      <w:sz w:val="22"/>
      <w:szCs w:val="22"/>
      <w:lang w:eastAsia="en-US"/>
    </w:rPr>
  </w:style>
  <w:style w:type="paragraph" w:styleId="Level2Heading" w:customStyle="1">
    <w:name w:val="Level 2 Heading"/>
    <w:basedOn w:val="BodyText"/>
    <w:next w:val="BodyText2"/>
    <w:pPr>
      <w:keepNext w:val="1"/>
      <w:tabs>
        <w:tab w:val="left" w:pos="360"/>
      </w:tabs>
      <w:suppressAutoHyphens w:val="0"/>
      <w:spacing w:after="200" w:before="360" w:line="360" w:lineRule="auto"/>
      <w:outlineLvl w:val="1"/>
    </w:pPr>
    <w:rPr>
      <w:rFonts w:ascii="Arial" w:eastAsia="Times New Roman" w:hAnsi="Arial"/>
      <w:b w:val="1"/>
      <w:sz w:val="20"/>
      <w:szCs w:val="20"/>
      <w:lang w:eastAsia="en-GB"/>
    </w:rPr>
  </w:style>
  <w:style w:type="paragraph" w:styleId="Level3Number" w:customStyle="1">
    <w:name w:val="Level 3 Number"/>
    <w:basedOn w:val="BodyText"/>
    <w:pPr>
      <w:tabs>
        <w:tab w:val="left" w:pos="360"/>
      </w:tabs>
      <w:suppressAutoHyphens w:val="0"/>
      <w:spacing w:after="200" w:before="360" w:line="360" w:lineRule="auto"/>
    </w:pPr>
    <w:rPr>
      <w:rFonts w:ascii="Arial" w:eastAsia="Times New Roman" w:hAnsi="Arial"/>
      <w:sz w:val="20"/>
      <w:szCs w:val="20"/>
    </w:rPr>
  </w:style>
  <w:style w:type="paragraph" w:styleId="Level4Number" w:customStyle="1">
    <w:name w:val="Level 4 Number"/>
    <w:basedOn w:val="BodyText"/>
    <w:pPr>
      <w:tabs>
        <w:tab w:val="left" w:pos="360"/>
      </w:tabs>
      <w:suppressAutoHyphens w:val="0"/>
      <w:spacing w:after="200" w:before="360" w:line="360" w:lineRule="auto"/>
    </w:pPr>
    <w:rPr>
      <w:rFonts w:ascii="Arial" w:eastAsia="Times New Roman" w:hAnsi="Arial"/>
      <w:sz w:val="20"/>
      <w:szCs w:val="20"/>
    </w:rPr>
  </w:style>
  <w:style w:type="paragraph" w:styleId="Level5Number" w:customStyle="1">
    <w:name w:val="Level 5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6Number" w:customStyle="1">
    <w:name w:val="Level 6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7Number" w:customStyle="1">
    <w:name w:val="Level 7 Number"/>
    <w:basedOn w:val="BodyText"/>
    <w:pPr>
      <w:tabs>
        <w:tab w:val="left" w:pos="360"/>
      </w:tabs>
      <w:suppressAutoHyphens w:val="0"/>
      <w:spacing w:after="240" w:line="360" w:lineRule="auto"/>
    </w:pPr>
    <w:rPr>
      <w:rFonts w:ascii="Arial" w:eastAsia="Times New Roman" w:hAnsi="Arial"/>
      <w:sz w:val="20"/>
      <w:szCs w:val="20"/>
    </w:rPr>
  </w:style>
  <w:style w:type="paragraph" w:styleId="Level8Number" w:customStyle="1">
    <w:name w:val="Level 8 Number"/>
    <w:basedOn w:val="BodyText"/>
    <w:pPr>
      <w:tabs>
        <w:tab w:val="left" w:pos="-3895"/>
        <w:tab w:val="num" w:pos="720"/>
      </w:tabs>
      <w:suppressAutoHyphens w:val="0"/>
      <w:spacing w:after="240" w:line="360" w:lineRule="auto"/>
      <w:ind w:left="720" w:hanging="720"/>
    </w:pPr>
    <w:rPr>
      <w:rFonts w:ascii="Arial" w:eastAsia="Times New Roman" w:hAnsi="Arial"/>
      <w:sz w:val="20"/>
      <w:szCs w:val="20"/>
    </w:rPr>
  </w:style>
  <w:style w:type="paragraph" w:styleId="BodyText2">
    <w:name w:val="Body Text 2"/>
    <w:basedOn w:val="Normal"/>
    <w:pPr>
      <w:spacing w:after="120" w:line="480" w:lineRule="auto"/>
    </w:pPr>
  </w:style>
  <w:style w:type="character" w:styleId="BodyText2Char" w:customStyle="1">
    <w:name w:val="Body Text 2 Char"/>
    <w:basedOn w:val="DefaultParagraphFont"/>
    <w:rPr>
      <w:sz w:val="22"/>
      <w:szCs w:val="22"/>
      <w:lang w:eastAsia="en-US"/>
    </w:rPr>
  </w:style>
  <w:style w:type="character" w:styleId="GPSL2NumberedBoldHeadingChar" w:customStyle="1">
    <w:name w:val="GPS L2 Numbered Bold Heading Char"/>
    <w:rPr>
      <w:rFonts w:cs="Arial" w:eastAsia="Times New Roman"/>
      <w:b w:val="1"/>
      <w:sz w:val="22"/>
      <w:szCs w:val="22"/>
      <w:lang w:eastAsia="zh-CN"/>
    </w:rPr>
  </w:style>
  <w:style w:type="paragraph" w:styleId="GPSL2Indent" w:customStyle="1">
    <w:name w:val="GPS L2 Indent"/>
    <w:basedOn w:val="Normal"/>
    <w:pPr>
      <w:tabs>
        <w:tab w:val="left" w:pos="3402"/>
      </w:tabs>
      <w:suppressAutoHyphens w:val="0"/>
      <w:overflowPunct w:val="0"/>
      <w:autoSpaceDE w:val="0"/>
      <w:spacing w:after="220" w:line="240" w:lineRule="auto"/>
      <w:ind w:left="1134"/>
      <w:jc w:val="both"/>
    </w:pPr>
    <w:rPr>
      <w:rFonts w:cs="Arial" w:eastAsia="Times New Roman"/>
      <w:szCs w:val="24"/>
    </w:rPr>
  </w:style>
  <w:style w:type="paragraph" w:styleId="GPSL2Numbered" w:customStyle="1">
    <w:name w:val="GPS L2 Numbered"/>
    <w:basedOn w:val="GPSL2NumberedBoldHeading"/>
    <w:qFormat w:val="1"/>
    <w:pPr>
      <w:tabs>
        <w:tab w:val="left" w:pos="709"/>
      </w:tabs>
      <w:ind w:hanging="360"/>
    </w:pPr>
    <w:rPr>
      <w:b w:val="0"/>
    </w:rPr>
  </w:style>
  <w:style w:type="character" w:styleId="GPSL2NumberedChar" w:customStyle="1">
    <w:name w:val="GPS L2 Numbered Char"/>
    <w:rPr>
      <w:rFonts w:cs="Arial" w:eastAsia="Times New Roman"/>
      <w:sz w:val="22"/>
      <w:szCs w:val="22"/>
      <w:lang w:eastAsia="zh-CN"/>
    </w:rPr>
  </w:style>
  <w:style w:type="character" w:styleId="GPSL2IndentChar" w:customStyle="1">
    <w:name w:val="GPS L2 Indent Char"/>
    <w:rPr>
      <w:rFonts w:cs="Arial" w:eastAsia="Times New Roman"/>
      <w:sz w:val="22"/>
      <w:szCs w:val="24"/>
      <w:lang w:eastAsia="en-US"/>
    </w:rPr>
  </w:style>
  <w:style w:type="character" w:styleId="GPSL4numberedclauseChar" w:customStyle="1">
    <w:name w:val="GPS L4 numbered clause Char"/>
    <w:rPr>
      <w:rFonts w:cs="Arial" w:eastAsia="Times New Roman"/>
      <w:sz w:val="22"/>
      <w:lang w:eastAsia="zh-CN"/>
    </w:rPr>
  </w:style>
  <w:style w:type="paragraph" w:styleId="GPSL3Indent" w:customStyle="1">
    <w:name w:val="GPS L3 Indent"/>
    <w:basedOn w:val="Normal"/>
    <w:pPr>
      <w:tabs>
        <w:tab w:val="left" w:pos="2127"/>
      </w:tabs>
      <w:suppressAutoHyphens w:val="0"/>
      <w:spacing w:after="120" w:before="120" w:line="240" w:lineRule="auto"/>
      <w:ind w:left="2127"/>
      <w:jc w:val="both"/>
    </w:pPr>
    <w:rPr>
      <w:rFonts w:ascii="Arial" w:cs="Arial" w:eastAsia="Times New Roman" w:hAnsi="Arial"/>
      <w:lang w:eastAsia="zh-CN" w:val="en-US"/>
    </w:rPr>
  </w:style>
  <w:style w:type="character" w:styleId="GPSL3IndentChar" w:customStyle="1">
    <w:name w:val="GPS L3 Indent Char"/>
    <w:rPr>
      <w:rFonts w:ascii="Arial" w:cs="Arial" w:eastAsia="Times New Roman" w:hAnsi="Arial"/>
      <w:sz w:val="22"/>
      <w:szCs w:val="22"/>
      <w:lang w:eastAsia="zh-CN" w:val="en-US"/>
    </w:rPr>
  </w:style>
  <w:style w:type="character" w:styleId="GPSL5numberedclauseChar" w:customStyle="1">
    <w:name w:val="GPS L5 numbered clause Char"/>
    <w:rPr>
      <w:rFonts w:cs="Arial" w:eastAsia="Times New Roman"/>
      <w:sz w:val="22"/>
      <w:lang w:eastAsia="zh-CN"/>
    </w:rPr>
  </w:style>
  <w:style w:type="paragraph" w:styleId="Body3" w:customStyle="1">
    <w:name w:val="Body3"/>
    <w:basedOn w:val="Normal"/>
    <w:pPr>
      <w:suppressAutoHyphens w:val="0"/>
      <w:spacing w:after="220" w:line="240" w:lineRule="auto"/>
      <w:ind w:left="1412"/>
      <w:jc w:val="both"/>
    </w:pPr>
    <w:rPr>
      <w:rFonts w:ascii="Trebuchet MS" w:eastAsia="Times New Roman" w:hAnsi="Trebuchet MS"/>
      <w:sz w:val="20"/>
      <w:szCs w:val="20"/>
    </w:rPr>
  </w:style>
  <w:style w:type="paragraph" w:styleId="GPSDefinitionTerm" w:customStyle="1">
    <w:name w:val="GPS Definition Term"/>
    <w:basedOn w:val="Normal"/>
    <w:pPr>
      <w:suppressAutoHyphens w:val="0"/>
      <w:overflowPunct w:val="0"/>
      <w:autoSpaceDE w:val="0"/>
      <w:spacing w:after="120" w:line="240" w:lineRule="auto"/>
      <w:ind w:left="-108"/>
    </w:pPr>
    <w:rPr>
      <w:rFonts w:cs="Arial" w:eastAsia="Times New Roman"/>
      <w:b w:val="1"/>
    </w:rPr>
  </w:style>
  <w:style w:type="character" w:styleId="Heading7Char" w:customStyle="1">
    <w:name w:val="Heading 7 Char"/>
    <w:basedOn w:val="DefaultParagraphFont"/>
    <w:rPr>
      <w:rFonts w:ascii="Arial" w:eastAsia="Times New Roman" w:hAnsi="Arial"/>
      <w:sz w:val="22"/>
      <w:szCs w:val="22"/>
      <w:lang w:eastAsia="en-US"/>
    </w:rPr>
  </w:style>
  <w:style w:type="character" w:styleId="Heading8Char" w:customStyle="1">
    <w:name w:val="Heading 8 Char"/>
    <w:basedOn w:val="DefaultParagraphFont"/>
    <w:rPr>
      <w:rFonts w:ascii="Arial" w:eastAsia="Times New Roman" w:hAnsi="Arial"/>
      <w:sz w:val="22"/>
      <w:szCs w:val="22"/>
      <w:lang w:eastAsia="en-US"/>
    </w:rPr>
  </w:style>
  <w:style w:type="paragraph" w:styleId="GPSL4boldheading" w:customStyle="1">
    <w:name w:val="GPS L4 bold heading"/>
    <w:basedOn w:val="GPSL3numberedclause"/>
    <w:pPr>
      <w:tabs>
        <w:tab w:val="num" w:pos="720"/>
      </w:tabs>
      <w:ind w:left="720" w:hanging="720"/>
    </w:pPr>
    <w:rPr>
      <w:b w:val="1"/>
    </w:rPr>
  </w:style>
  <w:style w:type="character" w:styleId="GPSL4boldheadingChar" w:customStyle="1">
    <w:name w:val="GPS L4 bold heading Char"/>
    <w:rPr>
      <w:rFonts w:cs="Arial" w:eastAsia="Times New Roman"/>
      <w:b w:val="1"/>
      <w:sz w:val="22"/>
      <w:szCs w:val="22"/>
      <w:lang w:eastAsia="zh-CN"/>
    </w:rPr>
  </w:style>
  <w:style w:type="numbering" w:styleId="WWOutlineListStyle7" w:customStyle="1">
    <w:name w:val="WW_OutlineListStyle_7"/>
    <w:basedOn w:val="NoList"/>
  </w:style>
  <w:style w:type="numbering" w:styleId="WWOutlineListStyle6" w:customStyle="1">
    <w:name w:val="WW_OutlineListStyle_6"/>
    <w:basedOn w:val="NoList"/>
  </w:style>
  <w:style w:type="numbering" w:styleId="WWOutlineListStyle5" w:customStyle="1">
    <w:name w:val="WW_OutlineListStyle_5"/>
    <w:basedOn w:val="NoList"/>
  </w:style>
  <w:style w:type="numbering" w:styleId="WWOutlineListStyle4" w:customStyle="1">
    <w:name w:val="WW_OutlineListStyle_4"/>
    <w:basedOn w:val="NoList"/>
  </w:style>
  <w:style w:type="numbering" w:styleId="WWOutlineListStyle3" w:customStyle="1">
    <w:name w:val="WW_OutlineListStyle_3"/>
    <w:basedOn w:val="NoList"/>
  </w:style>
  <w:style w:type="numbering" w:styleId="WWOutlineListStyle2" w:customStyle="1">
    <w:name w:val="WW_OutlineListStyle_2"/>
    <w:basedOn w:val="NoList"/>
  </w:style>
  <w:style w:type="numbering" w:styleId="WWOutlineListStyle1" w:customStyle="1">
    <w:name w:val="WW_OutlineListStyle_1"/>
    <w:basedOn w:val="NoList"/>
  </w:style>
  <w:style w:type="numbering" w:styleId="WWOutlineListStyle" w:customStyle="1">
    <w:name w:val="WW_OutlineListStyle"/>
    <w:basedOn w:val="NoList"/>
  </w:style>
  <w:style w:type="numbering" w:styleId="LFO7" w:customStyle="1">
    <w:name w:val="LFO7"/>
    <w:basedOn w:val="NoList"/>
  </w:style>
  <w:style w:type="numbering" w:styleId="LFO9" w:customStyle="1">
    <w:name w:val="LFO9"/>
    <w:basedOn w:val="NoList"/>
  </w:style>
  <w:style w:type="numbering" w:styleId="LFO10" w:customStyle="1">
    <w:name w:val="LFO10"/>
    <w:basedOn w:val="NoList"/>
  </w:style>
  <w:style w:type="numbering" w:styleId="LFO12" w:customStyle="1">
    <w:name w:val="LFO12"/>
    <w:basedOn w:val="NoList"/>
  </w:style>
  <w:style w:type="numbering" w:styleId="LFO13" w:customStyle="1">
    <w:name w:val="LFO13"/>
    <w:basedOn w:val="NoList"/>
  </w:style>
  <w:style w:type="table" w:styleId="LightShading-Accent5">
    <w:name w:val="Light Shading Accent 5"/>
    <w:basedOn w:val="TableNormal"/>
    <w:uiPriority w:val="60"/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TableGrid">
    <w:name w:val="Table Grid"/>
    <w:basedOn w:val="TableNormal"/>
    <w:uiPriority w:val="59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stTable3-Accent51" w:customStyle="1">
    <w:name w:val="List Table 3 - Accent 51"/>
    <w:basedOn w:val="TableNormal"/>
    <w:uiPriority w:val="48"/>
    <w:tblPr>
      <w:tblStyleRowBandSize w:val="1"/>
      <w:tblStyleColBandSize w:val="1"/>
      <w:tblBorders>
        <w:top w:color="4bacc6" w:space="0" w:sz="4" w:themeColor="accent5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</w:tblBorders>
    </w:tblPr>
    <w:tblStylePr w:type="firstRow"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rPr>
        <w:b w:val="1"/>
        <w:bCs w:val="1"/>
      </w:rPr>
      <w:tblPr/>
      <w:tcPr>
        <w:tcBorders>
          <w:top w:color="4bacc6" w:space="0" w:sz="4" w:themeColor="accent5" w:val="double"/>
        </w:tcBorders>
        <w:shd w:color="auto" w:fill="ffffff" w:themeFill="background1" w:val="clear"/>
      </w:tcPr>
    </w:tblStylePr>
    <w:tblStylePr w:type="firstCol">
      <w:rPr>
        <w:b w:val="1"/>
        <w:bCs w:val="1"/>
      </w:rPr>
      <w:tblPr/>
      <w:tcPr>
        <w:tcBorders>
          <w:right w:space="0" w:sz="0" w:val="nil"/>
        </w:tcBorders>
        <w:shd w:color="auto" w:fill="ffffff" w:themeFill="background1" w:val="clear"/>
      </w:tcPr>
    </w:tblStylePr>
    <w:tblStylePr w:type="lastCol">
      <w:rPr>
        <w:b w:val="1"/>
        <w:bCs w:val="1"/>
      </w:rPr>
      <w:tblPr/>
      <w:tcPr>
        <w:tcBorders>
          <w:left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color="4bacc6" w:space="0" w:sz="4" w:themeColor="accent5" w:val="single"/>
          <w:right w:color="4bacc6" w:space="0" w:sz="4" w:themeColor="accent5" w:val="single"/>
        </w:tcBorders>
      </w:tcPr>
    </w:tblStylePr>
    <w:tblStylePr w:type="band1Horz">
      <w:tblPr/>
      <w:tcPr>
        <w:tcBorders>
          <w:top w:color="4bacc6" w:space="0" w:sz="4" w:themeColor="accent5" w:val="single"/>
          <w:bottom w:color="4bacc6" w:space="0" w:sz="4" w:themeColor="accent5" w:val="single"/>
          <w:insideH w:space="0" w:sz="0" w:val="nil"/>
        </w:tcBorders>
      </w:tcPr>
    </w:tblStylePr>
    <w:tblStylePr w:type="neCell">
      <w:tblPr/>
      <w:tcPr>
        <w:tcBorders>
          <w:left w:space="0" w:sz="0" w:val="nil"/>
          <w:bottom w:space="0" w:sz="0" w:val="nil"/>
        </w:tcBorders>
      </w:tcPr>
    </w:tblStylePr>
    <w:tblStylePr w:type="nwCell">
      <w:tblPr/>
      <w:tcPr>
        <w:tcBorders>
          <w:bottom w:space="0" w:sz="0" w:val="nil"/>
          <w:right w:space="0" w:sz="0" w:val="nil"/>
        </w:tcBorders>
      </w:tcPr>
    </w:tblStylePr>
    <w:tblStylePr w:type="seCell">
      <w:tblPr/>
      <w:tcPr>
        <w:tcBorders>
          <w:top w:color="4bacc6" w:space="0" w:sz="4" w:themeColor="accent5" w:val="double"/>
          <w:left w:space="0" w:sz="0" w:val="nil"/>
        </w:tcBorders>
      </w:tcPr>
    </w:tblStylePr>
    <w:tblStylePr w:type="swCell">
      <w:tblPr/>
      <w:tcPr>
        <w:tcBorders>
          <w:top w:color="4bacc6" w:space="0" w:sz="4" w:themeColor="accent5" w:val="double"/>
          <w:right w:space="0" w:sz="0" w:val="nil"/>
        </w:tcBorders>
      </w:tcPr>
    </w:tblStylePr>
  </w:style>
  <w:style w:type="table" w:styleId="GridTable2-Accent51" w:customStyle="1">
    <w:name w:val="Grid Table 2 - Accent 51"/>
    <w:basedOn w:val="TableNormal"/>
    <w:uiPriority w:val="47"/>
    <w:tblPr>
      <w:tblStyleRowBandSize w:val="1"/>
      <w:tblStyleColBandSize w:val="1"/>
      <w:tblBorders>
        <w:top w:color="92cddc" w:space="0" w:sz="2" w:themeColor="accent5" w:themeTint="000099" w:val="single"/>
        <w:bottom w:color="92cddc" w:space="0" w:sz="2" w:themeColor="accent5" w:themeTint="000099" w:val="single"/>
        <w:insideH w:color="92cddc" w:space="0" w:sz="2" w:themeColor="accent5" w:themeTint="000099" w:val="single"/>
        <w:insideV w:color="92cddc" w:space="0" w:sz="2" w:themeColor="accent5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92cddc" w:space="0" w:sz="12" w:themeColor="accent5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92cddc" w:space="0" w:sz="2" w:themeColor="accent5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aeef3" w:themeFill="accent5" w:themeFillTint="000033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GridTable2-Accent11" w:customStyle="1">
    <w:name w:val="Grid Table 2 - Accent 11"/>
    <w:basedOn w:val="TableNormal"/>
    <w:uiPriority w:val="47"/>
    <w:tblPr>
      <w:tblStyleRowBandSize w:val="1"/>
      <w:tblStyleColBandSize w:val="1"/>
      <w:tblBorders>
        <w:top w:color="95b3d7" w:space="0" w:sz="2" w:themeColor="accent1" w:themeTint="000099" w:val="single"/>
        <w:bottom w:color="95b3d7" w:space="0" w:sz="2" w:themeColor="accent1" w:themeTint="000099" w:val="single"/>
        <w:insideH w:color="95b3d7" w:space="0" w:sz="2" w:themeColor="accent1" w:themeTint="000099" w:val="single"/>
        <w:insideV w:color="95b3d7" w:space="0" w:sz="2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bottom w:color="95b3d7" w:space="0" w:sz="12" w:themeColor="accent1" w:themeTint="000099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</w:rPr>
      <w:tblPr/>
      <w:tcPr>
        <w:tcBorders>
          <w:top w:color="95b3d7" w:space="0" w:sz="2" w:themeColor="accent1" w:themeTint="000099" w:val="double"/>
          <w:bottom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GridTable4-Accent11" w:customStyle="1">
    <w:name w:val="Grid Table 4 - Accent 11"/>
    <w:basedOn w:val="TableNormal"/>
    <w:uiPriority w:val="49"/>
    <w:tblPr>
      <w:tblStyleRowBandSize w:val="1"/>
      <w:tblStyleColBandSize w:val="1"/>
      <w:tblBorders>
        <w:top w:color="95b3d7" w:space="0" w:sz="4" w:themeColor="accent1" w:themeTint="000099" w:val="single"/>
        <w:left w:color="95b3d7" w:space="0" w:sz="4" w:themeColor="accent1" w:themeTint="000099" w:val="single"/>
        <w:bottom w:color="95b3d7" w:space="0" w:sz="4" w:themeColor="accent1" w:themeTint="000099" w:val="single"/>
        <w:right w:color="95b3d7" w:space="0" w:sz="4" w:themeColor="accent1" w:themeTint="000099" w:val="single"/>
        <w:insideH w:color="95b3d7" w:space="0" w:sz="4" w:themeColor="accent1" w:themeTint="000099" w:val="single"/>
        <w:insideV w:color="95b3d7" w:space="0" w:sz="4" w:themeColor="accent1" w:themeTint="000099" w:val="single"/>
      </w:tblBorders>
    </w:tblPr>
    <w:tblStylePr w:type="firstRow">
      <w:rPr>
        <w:b w:val="1"/>
        <w:bCs w:val="1"/>
        <w:color w:val="ffffff" w:themeColor="background1"/>
      </w:rPr>
      <w:tblPr/>
      <w:tcPr>
        <w:tcBorders>
          <w:top w:color="4f81bd" w:space="0" w:sz="4" w:themeColor="accent1" w:val="single"/>
          <w:left w:color="4f81bd" w:space="0" w:sz="4" w:themeColor="accent1" w:val="single"/>
          <w:bottom w:color="4f81bd" w:space="0" w:sz="4" w:themeColor="accent1" w:val="single"/>
          <w:right w:color="4f81bd" w:space="0" w:sz="4" w:themeColor="accent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rPr>
        <w:b w:val="1"/>
        <w:bCs w:val="1"/>
      </w:rPr>
      <w:tblPr/>
      <w:tcPr>
        <w:tcBorders>
          <w:top w:color="4f81bd" w:space="0" w:sz="4" w:themeColor="accent1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GridTable6Colorful-Accent11" w:customStyle="1">
    <w:name w:val="Grid Table 6 Colorful - Accent 11"/>
    <w:basedOn w:val="TableNormal"/>
    <w:uiPriority w:val="51"/>
    <w:rPr>
      <w:color w:val="365f91" w:themeColor="accent1" w:themeShade="0000BF"/>
    </w:rPr>
    <w:tblPr>
      <w:tblStyleRowBandSize w:val="1"/>
      <w:tblStyleColBandSize w:val="1"/>
      <w:tblBorders>
        <w:top w:color="95b3d7" w:space="0" w:sz="4" w:themeColor="accent1" w:themeTint="000099" w:val="single"/>
        <w:left w:color="95b3d7" w:space="0" w:sz="4" w:themeColor="accent1" w:themeTint="000099" w:val="single"/>
        <w:bottom w:color="95b3d7" w:space="0" w:sz="4" w:themeColor="accent1" w:themeTint="000099" w:val="single"/>
        <w:right w:color="95b3d7" w:space="0" w:sz="4" w:themeColor="accent1" w:themeTint="000099" w:val="single"/>
        <w:insideH w:color="95b3d7" w:space="0" w:sz="4" w:themeColor="accent1" w:themeTint="000099" w:val="single"/>
        <w:insideV w:color="95b3d7" w:space="0" w:sz="4" w:themeColor="accent1" w:themeTint="000099" w:val="single"/>
      </w:tblBorders>
    </w:tblPr>
    <w:tblStylePr w:type="firstRow">
      <w:rPr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b w:val="1"/>
        <w:bCs w:val="1"/>
      </w:rPr>
      <w:tblPr/>
      <w:tcPr>
        <w:tcBorders>
          <w:top w:color="95b3d7" w:space="0" w:sz="4" w:themeColor="accent1" w:themeTint="000099" w:val="doub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be5f1" w:themeFill="accent1" w:themeFillTint="000033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paragraph" w:styleId="EndnoteText">
    <w:name w:val="endnote text"/>
    <w:basedOn w:val="Normal"/>
    <w:link w:val="EndnoteTextChar"/>
    <w:uiPriority w:val="99"/>
    <w:semiHidden w:val="1"/>
    <w:unhideWhenUsed w:val="1"/>
    <w:pPr>
      <w:spacing w:after="0" w:line="240" w:lineRule="auto"/>
    </w:pPr>
    <w:rPr>
      <w:sz w:val="20"/>
      <w:szCs w:val="20"/>
    </w:rPr>
  </w:style>
  <w:style w:type="character" w:styleId="EndnoteTextChar" w:customStyle="1">
    <w:name w:val="Endnote Text Char"/>
    <w:basedOn w:val="DefaultParagraphFont"/>
    <w:link w:val="EndnoteText"/>
    <w:uiPriority w:val="99"/>
    <w:semiHidden w:val="1"/>
    <w:rPr>
      <w:lang w:eastAsia="en-US"/>
    </w:rPr>
  </w:style>
  <w:style w:type="character" w:styleId="EndnoteReference">
    <w:name w:val="endnote reference"/>
    <w:basedOn w:val="DefaultParagraphFont"/>
    <w:uiPriority w:val="99"/>
    <w:semiHidden w:val="1"/>
    <w:unhideWhenUsed w:val="1"/>
    <w:rPr>
      <w:vertAlign w:val="superscript"/>
    </w:rPr>
  </w:style>
  <w:style w:type="table" w:styleId="LightList">
    <w:name w:val="Light List"/>
    <w:basedOn w:val="TableNormal"/>
    <w:uiPriority w:val="61"/>
    <w:rsid w:val="00AB5036"/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paragraph" w:styleId="Subtitle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0" w:customStyle="1">
    <w:basedOn w:val="TableNormal"/>
    <w:rPr>
      <w:color w:val="366091"/>
    </w:rPr>
    <w:tblPr>
      <w:tblStyleRowBandSize w:val="1"/>
      <w:tblStyleColBandSize w:val="1"/>
    </w:tblPr>
  </w:style>
  <w:style w:type="table" w:styleId="a1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table" w:styleId="a2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3" w:customStyle="1">
    <w:basedOn w:val="TableNormal"/>
    <w:rPr>
      <w:color w:val="366091"/>
    </w:rPr>
    <w:tblPr>
      <w:tblStyleRowBandSize w:val="1"/>
      <w:tblStyleColBandSize w:val="1"/>
    </w:tblPr>
  </w:style>
  <w:style w:type="table" w:styleId="a4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table" w:styleId="a5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6" w:customStyle="1">
    <w:basedOn w:val="TableNormal"/>
    <w:rPr>
      <w:color w:val="366091"/>
    </w:rPr>
    <w:tblPr>
      <w:tblStyleRowBandSize w:val="1"/>
      <w:tblStyleColBandSize w:val="1"/>
    </w:tblPr>
  </w:style>
  <w:style w:type="table" w:styleId="a7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table" w:styleId="a8" w:customStyle="1">
    <w:basedOn w:val="TableNormal"/>
    <w:rPr>
      <w:color w:val="366091"/>
    </w:rPr>
    <w:tblPr>
      <w:tblStyleRowBandSize w:val="1"/>
      <w:tblStyleColBandSize w:val="1"/>
    </w:tblPr>
    <w:tblStylePr w:type="firstRow">
      <w:pPr>
        <w:spacing w:after="0" w:before="0" w:line="240" w:lineRule="auto"/>
      </w:pPr>
      <w:rPr>
        <w:b w:val="1"/>
        <w:color w:val="ffffff"/>
      </w:rPr>
      <w:tblPr/>
      <w:tcPr>
        <w:shd w:color="auto" w:fill="000000" w:val="clear"/>
      </w:tcPr>
    </w:tblStylePr>
    <w:tblStylePr w:type="lastRow">
      <w:pPr>
        <w:spacing w:after="0" w:before="0" w:line="240" w:lineRule="auto"/>
      </w:pPr>
      <w:rPr>
        <w:b w:val="1"/>
      </w:rPr>
      <w:tblPr/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Horz">
      <w:tblPr/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a9" w:customStyle="1">
    <w:basedOn w:val="TableNormal"/>
    <w:rPr>
      <w:color w:val="366091"/>
    </w:rPr>
    <w:tblPr>
      <w:tblStyleRowBandSize w:val="1"/>
      <w:tblStyleColBandSize w:val="1"/>
    </w:tblPr>
  </w:style>
  <w:style w:type="table" w:styleId="aa" w:customStyle="1">
    <w:basedOn w:val="TableNormal"/>
    <w:rPr>
      <w:color w:val="366091"/>
    </w:rPr>
    <w:tblPr>
      <w:tblStyleRowBandSize w:val="1"/>
      <w:tblStyleColBandSize w:val="1"/>
    </w:tblPr>
    <w:tblStylePr w:type="firstRow">
      <w:rPr>
        <w:b w:val="1"/>
      </w:rPr>
      <w:tblPr/>
      <w:tcPr>
        <w:tcBorders>
          <w:top w:space="0" w:sz="0" w:val="nil"/>
          <w:bottom w:color="95b3d7" w:space="0" w:sz="12" w:val="single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</w:rPr>
      <w:tblPr/>
      <w:tcPr>
        <w:tcBorders>
          <w:top w:color="95b3d7" w:space="0" w:sz="4" w:val="single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rPr>
        <w:b w:val="1"/>
      </w:rPr>
    </w:tblStylePr>
    <w:tblStylePr w:type="lastCol">
      <w:rPr>
        <w:b w:val="1"/>
      </w:rPr>
    </w:tblStylePr>
    <w:tblStylePr w:type="band1Vert">
      <w:tblPr/>
      <w:tcPr>
        <w:shd w:color="auto" w:fill="dbe5f1" w:val="clear"/>
      </w:tcPr>
    </w:tblStylePr>
    <w:tblStylePr w:type="band1Horz">
      <w:tblPr/>
      <w:tcPr>
        <w:shd w:color="auto" w:fill="dbe5f1" w:val="clear"/>
      </w:tcPr>
    </w:tblStylePr>
  </w:style>
  <w:style w:type="paragraph" w:styleId="NormalWeb">
    <w:name w:val="Normal (Web)"/>
    <w:basedOn w:val="Normal"/>
    <w:uiPriority w:val="99"/>
    <w:semiHidden w:val="1"/>
    <w:unhideWhenUsed w:val="1"/>
    <w:rsid w:val="001230BC"/>
    <w:pPr>
      <w:suppressAutoHyphens w:val="0"/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n-GB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band1Vert">
      <w:tcPr>
        <w:tc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  <w:tblStylePr w:type="firstCol">
      <w:rPr>
        <w:b w:val="1"/>
      </w:rPr>
    </w:tblStylePr>
    <w:tblStylePr w:type="firstRow">
      <w:pPr>
        <w:spacing w:after="0" w:before="0" w:line="240" w:lineRule="auto"/>
      </w:pPr>
      <w:rPr>
        <w:b w:val="1"/>
        <w:color w:val="ffffff"/>
      </w:rPr>
      <w:tcPr>
        <w:shd w:fill="000000" w:val="clear"/>
      </w:tcPr>
    </w:tblStylePr>
    <w:tblStylePr w:type="lastCol">
      <w:rPr>
        <w:b w:val="1"/>
      </w:rPr>
    </w:tblStylePr>
    <w:tblStylePr w:type="lastRow">
      <w:pPr>
        <w:spacing w:after="0" w:before="0" w:line="240" w:lineRule="auto"/>
      </w:pPr>
      <w:rPr>
        <w:b w:val="1"/>
      </w:rPr>
      <w:tcPr>
        <w:tcBorders>
          <w:top w:color="000000" w:space="0" w:sz="6" w:val="single"/>
          <w:left w:color="000000" w:space="0" w:sz="8" w:val="single"/>
          <w:bottom w:color="000000" w:space="0" w:sz="8" w:val="single"/>
          <w:right w:color="000000" w:space="0" w:sz="8" w:val="single"/>
        </w:tcBorders>
      </w:tcPr>
    </w:tblStylePr>
  </w:style>
  <w:style w:type="table" w:styleId="Table2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rPr>
      <w:color w:val="366091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>
        <w:shd w:fill="dbe5f1" w:val="clear"/>
      </w:tcPr>
    </w:tblStylePr>
    <w:tblStylePr w:type="band1Vert">
      <w:tcPr>
        <w:shd w:fill="dbe5f1" w:val="clear"/>
      </w:tcPr>
    </w:tblStylePr>
    <w:tblStylePr w:type="firstCol">
      <w:rPr>
        <w:b w:val="1"/>
      </w:rPr>
    </w:tblStylePr>
    <w:tblStylePr w:type="firstRow">
      <w:rPr>
        <w:b w:val="1"/>
      </w:rPr>
      <w:tcPr>
        <w:tcBorders>
          <w:top w:color="000000" w:space="0" w:sz="0" w:val="nil"/>
          <w:bottom w:color="95b3d7" w:space="0" w:sz="12" w:val="single"/>
          <w:insideH w:color="000000" w:space="0" w:sz="0" w:val="nil"/>
          <w:insideV w:color="000000" w:space="0" w:sz="0" w:val="nil"/>
        </w:tcBorders>
        <w:shd w:fill="ffffff" w:val="clear"/>
      </w:tcPr>
    </w:tblStylePr>
    <w:tblStylePr w:type="lastCol">
      <w:rPr>
        <w:b w:val="1"/>
      </w:rPr>
    </w:tblStylePr>
    <w:tblStylePr w:type="lastRow">
      <w:rPr>
        <w:b w:val="1"/>
      </w:rPr>
      <w:tcPr>
        <w:tcBorders>
          <w:top w:color="95b3d7" w:space="0" w:sz="4" w:val="single"/>
          <w:bottom w:color="000000" w:space="0" w:sz="0" w:val="nil"/>
          <w:insideH w:color="000000" w:space="0" w:sz="0" w:val="nil"/>
          <w:insideV w:color="000000" w:space="0" w:sz="0" w:val="nil"/>
        </w:tcBorders>
        <w:shd w:fill="ffffff" w:val="clear"/>
      </w:tcPr>
    </w:tblStyle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png"/><Relationship Id="rId10" Type="http://schemas.openxmlformats.org/officeDocument/2006/relationships/footer" Target="footer1.xml"/><Relationship Id="rId12" Type="http://schemas.openxmlformats.org/officeDocument/2006/relationships/image" Target="media/image1.png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2.xm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xB2zJcGfL/FPl11TWYPnqDH+eAg==">AMUW2mW/vsXl5ZPS2RdsmQDTw756BxpbtV8T3bLL+13FYd64iAkCxNdj2C0DbF4/W9PO7iI2ZwvOhDN7Z8aTSj8rKgijG4gLe2k3Py6nOOXrRziWMlJfl8n0nDif6mY42ivQOHf3D4jxvtFZC3mMCkSweW43Gq8XHA==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2022-10-03T10:11:00Z</dcterms:created>
  <dc:creator>Becky Leftwich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CurrentVersion">
    <vt:lpwstr>17 November 2017 D1V5</vt:lpwstr>
  </property>
</Properties>
</file>